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B5C5D0" w14:textId="57230C65" w:rsidR="006D3EC7" w:rsidRPr="00684AB1" w:rsidRDefault="004C4987" w:rsidP="0070502B">
      <w:pPr>
        <w:pStyle w:val="Ttulo1"/>
        <w:spacing w:after="0" w:line="240" w:lineRule="auto"/>
        <w:rPr>
          <w:rStyle w:val="ResaltadoCar"/>
          <w:rFonts w:eastAsiaTheme="majorEastAsia" w:cstheme="majorBidi"/>
          <w:b/>
          <w:bCs w:val="0"/>
        </w:rPr>
      </w:pPr>
      <w:r w:rsidRPr="004C4987">
        <w:rPr>
          <w:rStyle w:val="ResaltadoCar"/>
          <w:rFonts w:eastAsiaTheme="majorEastAsia" w:cstheme="majorBidi"/>
          <w:b/>
          <w:bCs w:val="0"/>
        </w:rPr>
        <w:t>Los datos abiertos a nivel autonómico en España en 2026</w:t>
      </w:r>
    </w:p>
    <w:p w14:paraId="051E8FCD" w14:textId="77777777" w:rsidR="004C4987" w:rsidRDefault="004C4987" w:rsidP="00F017B1">
      <w:pPr>
        <w:pStyle w:val="Ttulo2"/>
      </w:pPr>
    </w:p>
    <w:p w14:paraId="30FF12D4" w14:textId="17D8D327" w:rsidR="001F5E70" w:rsidRDefault="00A719B0" w:rsidP="009F0CCC">
      <w:pPr>
        <w:pStyle w:val="Ttulo2"/>
        <w:spacing w:line="276" w:lineRule="auto"/>
      </w:pPr>
      <w:r w:rsidRPr="00A719B0">
        <w:t>Andalucía</w:t>
      </w:r>
      <w:r w:rsidR="008D5A77" w:rsidRPr="00816E0D">
        <w:t>:</w:t>
      </w:r>
      <w:r w:rsidR="001F5E70">
        <w:t xml:space="preserve"> </w:t>
      </w:r>
    </w:p>
    <w:p w14:paraId="2C2923ED" w14:textId="62F6429D" w:rsidR="009F0CCC" w:rsidRDefault="009F0CCC" w:rsidP="009F0CCC">
      <w:pPr>
        <w:spacing w:after="160" w:line="259" w:lineRule="auto"/>
        <w:textAlignment w:val="auto"/>
      </w:pPr>
      <w:r w:rsidRPr="009F0CCC">
        <w:rPr>
          <w:b/>
          <w:bCs/>
        </w:rPr>
        <w:t>Portal:</w:t>
      </w:r>
      <w:r>
        <w:t xml:space="preserve"> </w:t>
      </w:r>
      <w:hyperlink r:id="rId8" w:history="1">
        <w:r w:rsidRPr="003114DB">
          <w:rPr>
            <w:rStyle w:val="Hipervnculo"/>
          </w:rPr>
          <w:t xml:space="preserve">Datos abiertos de la </w:t>
        </w:r>
        <w:r>
          <w:rPr>
            <w:rStyle w:val="Hipervnculo"/>
          </w:rPr>
          <w:t>J</w:t>
        </w:r>
        <w:r w:rsidRPr="003114DB">
          <w:rPr>
            <w:rStyle w:val="Hipervnculo"/>
          </w:rPr>
          <w:t>unta de Andalucía</w:t>
        </w:r>
      </w:hyperlink>
    </w:p>
    <w:p w14:paraId="2CE06303" w14:textId="77777777" w:rsidR="009F0CCC" w:rsidRPr="009F0CCC" w:rsidRDefault="009F0CCC" w:rsidP="009F0CCC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 xml:space="preserve">Marco estratégico: </w:t>
      </w:r>
    </w:p>
    <w:p w14:paraId="374332C5" w14:textId="77777777" w:rsidR="009F0CCC" w:rsidRPr="009F0CCC" w:rsidRDefault="009F0CCC" w:rsidP="009F0CCC">
      <w:pPr>
        <w:pStyle w:val="Vietas"/>
        <w:rPr>
          <w:b w:val="0"/>
          <w:bCs/>
        </w:rPr>
      </w:pPr>
      <w:hyperlink r:id="rId9" w:history="1">
        <w:r w:rsidRPr="009F0CCC">
          <w:rPr>
            <w:rStyle w:val="Hipervnculo"/>
            <w:b w:val="0"/>
            <w:bCs/>
          </w:rPr>
          <w:t>Plan de Acción de Gobierno Abierto de la Junta de Andalucía</w:t>
        </w:r>
      </w:hyperlink>
    </w:p>
    <w:p w14:paraId="5AD430CA" w14:textId="6B1EC9BE" w:rsidR="009F0CCC" w:rsidRPr="003942D5" w:rsidRDefault="009F0CCC" w:rsidP="00526656">
      <w:pPr>
        <w:pStyle w:val="Vietas"/>
        <w:spacing w:after="400"/>
        <w:ind w:left="357" w:hanging="357"/>
        <w:rPr>
          <w:b w:val="0"/>
          <w:bCs/>
        </w:rPr>
      </w:pPr>
      <w:hyperlink r:id="rId10">
        <w:r w:rsidRPr="009F0CCC">
          <w:rPr>
            <w:rStyle w:val="Hipervnculo"/>
            <w:b w:val="0"/>
            <w:bCs/>
          </w:rPr>
          <w:t xml:space="preserve">Planes específicos para cada </w:t>
        </w:r>
        <w:proofErr w:type="spellStart"/>
        <w:r w:rsidRPr="009F0CCC">
          <w:rPr>
            <w:rStyle w:val="Hipervnculo"/>
            <w:b w:val="0"/>
            <w:bCs/>
          </w:rPr>
          <w:t>consejería</w:t>
        </w:r>
      </w:hyperlink>
      <w:proofErr w:type="spellEnd"/>
    </w:p>
    <w:p w14:paraId="32C223BE" w14:textId="5045C86C" w:rsidR="00F017B1" w:rsidRDefault="009F0CCC" w:rsidP="009F0CCC">
      <w:pPr>
        <w:pStyle w:val="Ttulo2"/>
        <w:spacing w:line="276" w:lineRule="auto"/>
      </w:pPr>
      <w:r w:rsidRPr="009F0CCC">
        <w:t>Principado de Asturias</w:t>
      </w:r>
      <w:r w:rsidR="00816E0D" w:rsidRPr="00816E0D">
        <w:t>:</w:t>
      </w:r>
      <w:r w:rsidR="00816E0D">
        <w:t xml:space="preserve"> </w:t>
      </w:r>
    </w:p>
    <w:p w14:paraId="57E17E68" w14:textId="34B639BC" w:rsidR="009F0CCC" w:rsidRDefault="009F0CCC" w:rsidP="009F0CCC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11" w:history="1">
        <w:r w:rsidRPr="00C718FC">
          <w:rPr>
            <w:rStyle w:val="Hipervnculo"/>
          </w:rPr>
          <w:t>Catálogo de datos del Principado de Asturias</w:t>
        </w:r>
      </w:hyperlink>
    </w:p>
    <w:p w14:paraId="14F08B22" w14:textId="5D54EF19" w:rsidR="00601C24" w:rsidRPr="003942D5" w:rsidRDefault="009F0CCC" w:rsidP="00526656">
      <w:pPr>
        <w:spacing w:after="40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  <w:hyperlink r:id="rId12" w:history="1">
        <w:r w:rsidR="003942D5" w:rsidRPr="00526656">
          <w:rPr>
            <w:rStyle w:val="Hipervnculo"/>
            <w:b/>
            <w:bCs/>
          </w:rPr>
          <w:t xml:space="preserve"> </w:t>
        </w:r>
        <w:r w:rsidR="003942D5" w:rsidRPr="00526656">
          <w:rPr>
            <w:rStyle w:val="Hipervnculo"/>
          </w:rPr>
          <w:t>Ley del Princ</w:t>
        </w:r>
        <w:r w:rsidR="003942D5" w:rsidRPr="00526656">
          <w:rPr>
            <w:rStyle w:val="Hipervnculo"/>
          </w:rPr>
          <w:t>i</w:t>
        </w:r>
        <w:r w:rsidR="003942D5" w:rsidRPr="00526656">
          <w:rPr>
            <w:rStyle w:val="Hipervnculo"/>
          </w:rPr>
          <w:t>pado de Asturias de Transparencia, Buen Gobierno y Grupos de Interés</w:t>
        </w:r>
      </w:hyperlink>
    </w:p>
    <w:p w14:paraId="4FE61243" w14:textId="05561246" w:rsidR="00836EC9" w:rsidRDefault="00601C24" w:rsidP="009F0CCC">
      <w:pPr>
        <w:pStyle w:val="Ttulo2"/>
        <w:spacing w:line="276" w:lineRule="auto"/>
      </w:pPr>
      <w:r>
        <w:t>Aragón</w:t>
      </w:r>
      <w:r w:rsidR="00836EC9" w:rsidRPr="00816E0D">
        <w:t>:</w:t>
      </w:r>
      <w:r w:rsidR="00836EC9">
        <w:t xml:space="preserve"> </w:t>
      </w:r>
    </w:p>
    <w:p w14:paraId="14D37D18" w14:textId="77777777" w:rsidR="009F0CCC" w:rsidRDefault="009F0CCC" w:rsidP="009F0CCC">
      <w:pPr>
        <w:spacing w:after="160" w:line="259" w:lineRule="auto"/>
        <w:textAlignment w:val="auto"/>
      </w:pPr>
      <w:r w:rsidRPr="009F0CCC">
        <w:rPr>
          <w:b/>
          <w:bCs/>
        </w:rPr>
        <w:t>Portal:</w:t>
      </w:r>
      <w:r>
        <w:t xml:space="preserve"> Portal: </w:t>
      </w:r>
      <w:hyperlink r:id="rId13" w:history="1">
        <w:r w:rsidRPr="009F0CCC">
          <w:rPr>
            <w:rStyle w:val="Hipervnculo"/>
            <w:color w:val="0070C0"/>
          </w:rPr>
          <w:t>Aragón open data</w:t>
        </w:r>
      </w:hyperlink>
    </w:p>
    <w:p w14:paraId="17797CA4" w14:textId="5B92D997" w:rsidR="003942D5" w:rsidRPr="003942D5" w:rsidRDefault="009F0CCC" w:rsidP="00526656">
      <w:pPr>
        <w:spacing w:after="400" w:line="259" w:lineRule="auto"/>
        <w:textAlignment w:val="auto"/>
        <w:rPr>
          <w:color w:val="0070C0"/>
        </w:rPr>
      </w:pPr>
      <w:r w:rsidRPr="009F0CCC">
        <w:rPr>
          <w:b/>
          <w:bCs/>
        </w:rPr>
        <w:t>Marco estratégico:</w:t>
      </w:r>
      <w:r>
        <w:rPr>
          <w:b/>
          <w:bCs/>
        </w:rPr>
        <w:t xml:space="preserve"> </w:t>
      </w:r>
      <w:hyperlink r:id="rId14" w:tgtFrame="_blank" w:tooltip="Se abre en ventana nueva" w:history="1">
        <w:r w:rsidRPr="009F0CCC">
          <w:rPr>
            <w:rStyle w:val="Hipervnculo"/>
            <w:color w:val="0070C0"/>
          </w:rPr>
          <w:t>Ley 8/2015, de 25 de marzo, de Transparencia de la Actividad Pública y Participación Ciudadana de Aragón</w:t>
        </w:r>
      </w:hyperlink>
    </w:p>
    <w:p w14:paraId="69A34E6E" w14:textId="1FB57367" w:rsidR="00C35609" w:rsidRDefault="00C35609" w:rsidP="009F0CCC">
      <w:pPr>
        <w:pStyle w:val="Ttulo2"/>
        <w:spacing w:line="276" w:lineRule="auto"/>
      </w:pPr>
      <w:r>
        <w:t>C</w:t>
      </w:r>
      <w:r w:rsidR="00601C24">
        <w:t>anarias</w:t>
      </w:r>
      <w:r w:rsidRPr="00816E0D">
        <w:t>:</w:t>
      </w:r>
      <w:r>
        <w:t xml:space="preserve"> </w:t>
      </w:r>
    </w:p>
    <w:p w14:paraId="1C1F98E9" w14:textId="6CECD3C6" w:rsidR="009F0CCC" w:rsidRDefault="009F0CCC" w:rsidP="009F0CCC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15" w:history="1">
        <w:r w:rsidR="00601C24" w:rsidRPr="00AD0D29">
          <w:rPr>
            <w:rStyle w:val="Hipervnculo"/>
          </w:rPr>
          <w:t>Canarias datos abiertos</w:t>
        </w:r>
      </w:hyperlink>
    </w:p>
    <w:p w14:paraId="0339EC87" w14:textId="77777777" w:rsidR="009F0CCC" w:rsidRDefault="009F0CCC" w:rsidP="009F0CCC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</w:p>
    <w:p w14:paraId="1F8485D3" w14:textId="77777777" w:rsidR="00601C24" w:rsidRPr="00601C24" w:rsidRDefault="00601C24" w:rsidP="00601C24">
      <w:pPr>
        <w:pStyle w:val="Vietas"/>
        <w:rPr>
          <w:rStyle w:val="Hipervnculo"/>
          <w:b w:val="0"/>
          <w:bCs/>
        </w:rPr>
      </w:pPr>
      <w:hyperlink r:id="rId16" w:tgtFrame="_blank" w:tooltip="Ir a la normativa" w:history="1">
        <w:r w:rsidRPr="00601C24">
          <w:rPr>
            <w:rStyle w:val="Hipervnculo"/>
            <w:b w:val="0"/>
            <w:bCs/>
          </w:rPr>
          <w:t>Ley 12/2014, de 26 de diciembre, de transparencia y de acceso a la información.</w:t>
        </w:r>
      </w:hyperlink>
    </w:p>
    <w:p w14:paraId="3A0EA3E1" w14:textId="77777777" w:rsidR="00601C24" w:rsidRPr="00601C24" w:rsidRDefault="00601C24" w:rsidP="00601C24">
      <w:pPr>
        <w:pStyle w:val="Vietas"/>
        <w:rPr>
          <w:rStyle w:val="Hipervnculo"/>
          <w:b w:val="0"/>
          <w:bCs/>
        </w:rPr>
      </w:pPr>
      <w:hyperlink r:id="rId17" w:tgtFrame="_blank" w:tooltip="Ir a la normativa" w:history="1">
        <w:r w:rsidRPr="00601C24">
          <w:rPr>
            <w:rStyle w:val="Hipervnculo"/>
            <w:b w:val="0"/>
            <w:bCs/>
          </w:rPr>
          <w:t>Decreto 19/2011, de 10 de febrero, por el que se regula la utilización de los medios electrónicos en la Administración pública de la Comunidad Autónoma de Canarias.</w:t>
        </w:r>
      </w:hyperlink>
    </w:p>
    <w:p w14:paraId="5EB1B95E" w14:textId="77777777" w:rsidR="00601C24" w:rsidRPr="00601C24" w:rsidRDefault="00601C24" w:rsidP="00601C24">
      <w:pPr>
        <w:pStyle w:val="Vietas"/>
        <w:rPr>
          <w:rStyle w:val="Hipervnculo"/>
          <w:b w:val="0"/>
          <w:bCs/>
        </w:rPr>
      </w:pPr>
      <w:hyperlink r:id="rId18" w:tgtFrame="_blank" w:tooltip="Ir a la normativa" w:history="1">
        <w:r w:rsidRPr="00601C24">
          <w:rPr>
            <w:rStyle w:val="Hipervnculo"/>
            <w:b w:val="0"/>
            <w:bCs/>
          </w:rPr>
          <w:t>ORDEN de 18 de diciembre de 2017, por la que se aprueba el Esquema de Metadatos de la Administración Pública de la Comunidad Autónoma de Canarias.</w:t>
        </w:r>
      </w:hyperlink>
    </w:p>
    <w:p w14:paraId="632121B0" w14:textId="77777777" w:rsidR="00601C24" w:rsidRPr="00601C24" w:rsidRDefault="00601C24" w:rsidP="00526656">
      <w:pPr>
        <w:pStyle w:val="Vietas"/>
        <w:spacing w:after="400"/>
        <w:ind w:left="357" w:hanging="357"/>
        <w:rPr>
          <w:rStyle w:val="Hipervnculo"/>
          <w:b w:val="0"/>
          <w:bCs/>
        </w:rPr>
      </w:pPr>
      <w:hyperlink r:id="rId19">
        <w:r w:rsidRPr="00601C24">
          <w:rPr>
            <w:rStyle w:val="Hipervnculo"/>
            <w:b w:val="0"/>
            <w:bCs/>
          </w:rPr>
          <w:t>Estrategia de Gobierno Abierto de la Agenda Canaria de Desarrollo Sostenible 2030</w:t>
        </w:r>
      </w:hyperlink>
    </w:p>
    <w:p w14:paraId="497B389B" w14:textId="5A842226" w:rsidR="00D30433" w:rsidRDefault="00601C24" w:rsidP="009F0CCC">
      <w:pPr>
        <w:pStyle w:val="Ttulo2"/>
        <w:spacing w:line="276" w:lineRule="auto"/>
      </w:pPr>
      <w:r>
        <w:lastRenderedPageBreak/>
        <w:t>Cantabria</w:t>
      </w:r>
      <w:r w:rsidR="00D30433" w:rsidRPr="00816E0D">
        <w:t>:</w:t>
      </w:r>
      <w:r w:rsidR="00D30433">
        <w:t xml:space="preserve"> </w:t>
      </w:r>
    </w:p>
    <w:p w14:paraId="4DCC97E6" w14:textId="0675E16D" w:rsidR="009F0CCC" w:rsidRDefault="009F0CCC" w:rsidP="009F0CCC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20">
        <w:r w:rsidR="009A5D0D" w:rsidRPr="6D47F3DC">
          <w:rPr>
            <w:rStyle w:val="Hipervnculo"/>
          </w:rPr>
          <w:t>Portal de datos del Instituto Cántabro de Estadística</w:t>
        </w:r>
      </w:hyperlink>
    </w:p>
    <w:p w14:paraId="268A97B3" w14:textId="172E65E0" w:rsidR="00601C24" w:rsidRPr="003942D5" w:rsidRDefault="009F0CCC" w:rsidP="00526656">
      <w:pPr>
        <w:spacing w:after="40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  <w:r w:rsidR="009A5D0D">
        <w:rPr>
          <w:b/>
          <w:bCs/>
        </w:rPr>
        <w:t xml:space="preserve"> </w:t>
      </w:r>
      <w:hyperlink r:id="rId21">
        <w:r w:rsidR="009A5D0D" w:rsidRPr="6D47F3DC">
          <w:rPr>
            <w:rStyle w:val="Hipervnculo"/>
          </w:rPr>
          <w:t>Ley 1/2018, de 21 de marzo, de Transparencia de la Actividad</w:t>
        </w:r>
      </w:hyperlink>
    </w:p>
    <w:p w14:paraId="2DEA8240" w14:textId="247D4550" w:rsidR="00601C24" w:rsidRDefault="00601C24" w:rsidP="00601C24">
      <w:pPr>
        <w:pStyle w:val="Ttulo2"/>
        <w:spacing w:line="276" w:lineRule="auto"/>
      </w:pPr>
      <w:r>
        <w:t>Ca</w:t>
      </w:r>
      <w:r>
        <w:t>stilla-La Mancha</w:t>
      </w:r>
      <w:r w:rsidRPr="00816E0D">
        <w:t>:</w:t>
      </w:r>
      <w:r>
        <w:t xml:space="preserve"> </w:t>
      </w:r>
    </w:p>
    <w:p w14:paraId="18938B06" w14:textId="6E9297A1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22" w:history="1">
        <w:r w:rsidR="009A5D0D" w:rsidRPr="000C5CEF">
          <w:rPr>
            <w:rStyle w:val="Hipervnculo"/>
          </w:rPr>
          <w:t>Datos abiertos de Castilla-La Mancha</w:t>
        </w:r>
      </w:hyperlink>
    </w:p>
    <w:p w14:paraId="6F491A60" w14:textId="77777777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</w:p>
    <w:p w14:paraId="1AEB7F5D" w14:textId="77777777" w:rsidR="009A5D0D" w:rsidRPr="009A5D0D" w:rsidRDefault="009A5D0D" w:rsidP="009A5D0D">
      <w:pPr>
        <w:pStyle w:val="Vietas"/>
        <w:rPr>
          <w:rStyle w:val="Hipervnculo"/>
          <w:b w:val="0"/>
          <w:bCs/>
        </w:rPr>
      </w:pPr>
      <w:hyperlink r:id="rId23">
        <w:r w:rsidRPr="009A5D0D">
          <w:rPr>
            <w:rStyle w:val="Hipervnculo"/>
            <w:b w:val="0"/>
            <w:bCs/>
          </w:rPr>
          <w:t>Decreto 12/2026, de 31 de marzo, por el que se regula el Gobierno del Dato en la Junta de Comunidades de Castilla-La Mancha</w:t>
        </w:r>
      </w:hyperlink>
    </w:p>
    <w:p w14:paraId="1C340B6B" w14:textId="3B070653" w:rsidR="00601C24" w:rsidRPr="003942D5" w:rsidRDefault="009A5D0D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hyperlink r:id="rId24">
        <w:r w:rsidRPr="009A5D0D">
          <w:rPr>
            <w:rStyle w:val="Hipervnculo"/>
            <w:b w:val="0"/>
            <w:bCs/>
          </w:rPr>
          <w:t>Ley 4/2016, de 15 de diciembre, de Transparencia y Buen Gobierno de Castilla-La Mancha</w:t>
        </w:r>
      </w:hyperlink>
    </w:p>
    <w:p w14:paraId="13A6CB3C" w14:textId="7AE88345" w:rsidR="00601C24" w:rsidRDefault="00601C24" w:rsidP="00601C24">
      <w:pPr>
        <w:pStyle w:val="Ttulo2"/>
        <w:spacing w:line="276" w:lineRule="auto"/>
      </w:pPr>
      <w:r>
        <w:t>Ca</w:t>
      </w:r>
      <w:r>
        <w:t>stilla y León</w:t>
      </w:r>
      <w:r w:rsidRPr="00816E0D">
        <w:t>:</w:t>
      </w:r>
      <w:r>
        <w:t xml:space="preserve"> </w:t>
      </w:r>
    </w:p>
    <w:p w14:paraId="00CF7B97" w14:textId="1110DB2C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 w:rsidR="009A5D0D">
        <w:rPr>
          <w:color w:val="0070C0"/>
        </w:rPr>
        <w:t xml:space="preserve"> </w:t>
      </w:r>
      <w:hyperlink r:id="rId25" w:history="1">
        <w:r w:rsidR="009A5D0D" w:rsidRPr="009A5D0D">
          <w:rPr>
            <w:rStyle w:val="Hipervnculo"/>
          </w:rPr>
          <w:t>Datos abiertos de Castilla y León</w:t>
        </w:r>
      </w:hyperlink>
      <w:r w:rsidR="009A5D0D">
        <w:t xml:space="preserve"> </w:t>
      </w:r>
    </w:p>
    <w:p w14:paraId="32C50B93" w14:textId="77777777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</w:p>
    <w:p w14:paraId="1F0987A2" w14:textId="77777777" w:rsidR="009A5D0D" w:rsidRPr="009A5D0D" w:rsidRDefault="009A5D0D" w:rsidP="009A5D0D">
      <w:pPr>
        <w:pStyle w:val="Vietas"/>
        <w:rPr>
          <w:rStyle w:val="Hipervnculo"/>
          <w:b w:val="0"/>
          <w:bCs/>
          <w:color w:val="0070C0"/>
        </w:rPr>
      </w:pPr>
      <w:r w:rsidRPr="009A5D0D">
        <w:rPr>
          <w:rStyle w:val="Hipervnculo"/>
          <w:b w:val="0"/>
          <w:bCs/>
          <w:color w:val="0070C0"/>
        </w:rPr>
        <w:fldChar w:fldCharType="begin"/>
      </w:r>
      <w:r w:rsidRPr="009A5D0D">
        <w:rPr>
          <w:rStyle w:val="Hipervnculo"/>
          <w:b w:val="0"/>
          <w:bCs/>
          <w:color w:val="0070C0"/>
        </w:rPr>
        <w:instrText>HYPERLINK "https://datosabiertos.jcyl.es/web/jcyl/RISP/es/Plantilla100Detalle/1284162108799/Normativa/1285137562740/Redaccion"</w:instrText>
      </w:r>
      <w:r w:rsidRPr="009A5D0D">
        <w:rPr>
          <w:rStyle w:val="Hipervnculo"/>
          <w:b w:val="0"/>
          <w:bCs/>
          <w:color w:val="0070C0"/>
        </w:rPr>
      </w:r>
      <w:r w:rsidRPr="009A5D0D">
        <w:rPr>
          <w:rStyle w:val="Hipervnculo"/>
          <w:b w:val="0"/>
          <w:bCs/>
          <w:color w:val="0070C0"/>
        </w:rPr>
        <w:fldChar w:fldCharType="separate"/>
      </w:r>
      <w:r w:rsidRPr="009A5D0D">
        <w:rPr>
          <w:rStyle w:val="Hipervnculo"/>
          <w:b w:val="0"/>
          <w:bCs/>
          <w:color w:val="0070C0"/>
        </w:rPr>
        <w:t>Ley 3/2015, de 4 de marzo, de Transparencia y Participación Ciudadana de Castilla y León</w:t>
      </w:r>
    </w:p>
    <w:p w14:paraId="53F0072D" w14:textId="20EDED5A" w:rsidR="000369F9" w:rsidRPr="003942D5" w:rsidRDefault="009A5D0D" w:rsidP="00526656">
      <w:pPr>
        <w:pStyle w:val="Vietas"/>
        <w:spacing w:after="400"/>
        <w:ind w:left="357" w:hanging="357"/>
        <w:rPr>
          <w:rFonts w:eastAsiaTheme="minorEastAsia"/>
          <w:b w:val="0"/>
          <w:bCs/>
        </w:rPr>
      </w:pPr>
      <w:r w:rsidRPr="009A5D0D">
        <w:rPr>
          <w:rStyle w:val="Hipervnculo"/>
          <w:b w:val="0"/>
          <w:bCs/>
          <w:color w:val="0070C0"/>
        </w:rPr>
        <w:fldChar w:fldCharType="end"/>
      </w:r>
      <w:r>
        <w:rPr>
          <w:rFonts w:eastAsiaTheme="minorEastAsia"/>
          <w:b w:val="0"/>
          <w:bCs/>
        </w:rPr>
        <w:fldChar w:fldCharType="begin"/>
      </w:r>
      <w:r>
        <w:rPr>
          <w:rFonts w:eastAsiaTheme="minorEastAsia"/>
          <w:b w:val="0"/>
          <w:bCs/>
        </w:rPr>
        <w:instrText>HYPERLINK "https://cienciaytecnologia.jcyl.es/web/es/agenda-digital/estrategia-especializacion/estrategia-inteligente-2021-2027.html"</w:instrText>
      </w:r>
      <w:r>
        <w:rPr>
          <w:rFonts w:eastAsiaTheme="minorEastAsia"/>
          <w:b w:val="0"/>
          <w:bCs/>
        </w:rPr>
      </w:r>
      <w:r>
        <w:rPr>
          <w:rFonts w:eastAsiaTheme="minorEastAsia"/>
          <w:b w:val="0"/>
          <w:bCs/>
        </w:rPr>
        <w:fldChar w:fldCharType="separate"/>
      </w:r>
      <w:r w:rsidRPr="009A5D0D">
        <w:rPr>
          <w:rStyle w:val="Hipervnculo"/>
          <w:rFonts w:eastAsiaTheme="minorEastAsia"/>
          <w:b w:val="0"/>
          <w:bCs/>
        </w:rPr>
        <w:t>Estrategia de especialización inteligente 2021-2027</w:t>
      </w:r>
      <w:r w:rsidRPr="009A5D0D">
        <w:rPr>
          <w:rStyle w:val="Hipervnculo"/>
          <w:rFonts w:eastAsiaTheme="minorEastAsia"/>
          <w:b w:val="0"/>
          <w:bCs/>
        </w:rPr>
        <w:t xml:space="preserve"> </w:t>
      </w:r>
      <w:r>
        <w:rPr>
          <w:rFonts w:eastAsiaTheme="minorEastAsia"/>
          <w:b w:val="0"/>
          <w:bCs/>
        </w:rPr>
        <w:fldChar w:fldCharType="end"/>
      </w:r>
      <w:r w:rsidRPr="009A5D0D">
        <w:rPr>
          <w:rFonts w:eastAsiaTheme="minorEastAsia"/>
          <w:b w:val="0"/>
          <w:bCs/>
        </w:rPr>
        <w:t xml:space="preserve"> </w:t>
      </w:r>
    </w:p>
    <w:p w14:paraId="5CF9B2D5" w14:textId="2447481B" w:rsidR="00601C24" w:rsidRDefault="00601C24" w:rsidP="00601C24">
      <w:pPr>
        <w:pStyle w:val="Ttulo2"/>
        <w:spacing w:line="276" w:lineRule="auto"/>
      </w:pPr>
      <w:r>
        <w:t>C</w:t>
      </w:r>
      <w:r>
        <w:t>atalunya</w:t>
      </w:r>
      <w:r w:rsidRPr="00816E0D">
        <w:t>:</w:t>
      </w:r>
      <w:r>
        <w:t xml:space="preserve"> </w:t>
      </w:r>
    </w:p>
    <w:p w14:paraId="724E8279" w14:textId="5237B503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26" w:history="1">
        <w:r w:rsidR="000369F9" w:rsidRPr="00816A9F">
          <w:rPr>
            <w:rStyle w:val="Hipervnculo"/>
          </w:rPr>
          <w:t xml:space="preserve">Dades </w:t>
        </w:r>
        <w:proofErr w:type="spellStart"/>
        <w:r w:rsidR="000369F9" w:rsidRPr="00816A9F">
          <w:rPr>
            <w:rStyle w:val="Hipervnculo"/>
          </w:rPr>
          <w:t>obertes</w:t>
        </w:r>
        <w:proofErr w:type="spellEnd"/>
      </w:hyperlink>
    </w:p>
    <w:p w14:paraId="59DB4323" w14:textId="62B767E4" w:rsidR="00601C24" w:rsidRPr="003942D5" w:rsidRDefault="00601C24" w:rsidP="00526656">
      <w:pPr>
        <w:spacing w:after="40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  <w:r w:rsidR="000369F9">
        <w:rPr>
          <w:b/>
          <w:bCs/>
        </w:rPr>
        <w:t xml:space="preserve"> </w:t>
      </w:r>
      <w:hyperlink r:id="rId27" w:history="1">
        <w:r w:rsidR="000369F9" w:rsidRPr="00C779A9">
          <w:rPr>
            <w:rStyle w:val="Hipervnculo"/>
            <w:lang w:val="en-US"/>
          </w:rPr>
          <w:t xml:space="preserve">Pla </w:t>
        </w:r>
        <w:proofErr w:type="spellStart"/>
        <w:r w:rsidR="000369F9" w:rsidRPr="00C779A9">
          <w:rPr>
            <w:rStyle w:val="Hipervnculo"/>
            <w:lang w:val="en-US"/>
          </w:rPr>
          <w:t>d'Acció</w:t>
        </w:r>
        <w:proofErr w:type="spellEnd"/>
        <w:r w:rsidR="000369F9" w:rsidRPr="00C779A9">
          <w:rPr>
            <w:rStyle w:val="Hipervnculo"/>
            <w:lang w:val="en-US"/>
          </w:rPr>
          <w:t xml:space="preserve"> Open </w:t>
        </w:r>
        <w:proofErr w:type="spellStart"/>
        <w:r w:rsidR="000369F9" w:rsidRPr="00C779A9">
          <w:rPr>
            <w:rStyle w:val="Hipervnculo"/>
            <w:lang w:val="en-US"/>
          </w:rPr>
          <w:t>Goverment</w:t>
        </w:r>
        <w:proofErr w:type="spellEnd"/>
        <w:r w:rsidR="000369F9" w:rsidRPr="00C779A9">
          <w:rPr>
            <w:rStyle w:val="Hipervnculo"/>
            <w:lang w:val="en-US"/>
          </w:rPr>
          <w:t xml:space="preserve"> Partnership (2025-2028)</w:t>
        </w:r>
      </w:hyperlink>
    </w:p>
    <w:p w14:paraId="4BAB8715" w14:textId="2AB2A438" w:rsidR="00601C24" w:rsidRDefault="00601C24" w:rsidP="00601C24">
      <w:pPr>
        <w:pStyle w:val="Ttulo2"/>
        <w:spacing w:line="276" w:lineRule="auto"/>
      </w:pPr>
      <w:r>
        <w:t>Extremadura</w:t>
      </w:r>
      <w:r w:rsidRPr="00816E0D">
        <w:t>:</w:t>
      </w:r>
      <w:r>
        <w:t xml:space="preserve"> </w:t>
      </w:r>
    </w:p>
    <w:p w14:paraId="0E6A03A7" w14:textId="6EB4DEAF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28">
        <w:r w:rsidR="000369F9" w:rsidRPr="4502F691">
          <w:rPr>
            <w:rStyle w:val="Hipervnculo"/>
          </w:rPr>
          <w:t>Catálogo de datos de la Junta de Extremadura</w:t>
        </w:r>
      </w:hyperlink>
    </w:p>
    <w:p w14:paraId="141ADB0A" w14:textId="77777777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</w:p>
    <w:p w14:paraId="3B611974" w14:textId="77777777" w:rsidR="000369F9" w:rsidRPr="000369F9" w:rsidRDefault="000369F9" w:rsidP="000369F9">
      <w:pPr>
        <w:pStyle w:val="Vietas"/>
        <w:rPr>
          <w:rStyle w:val="Hipervnculo"/>
          <w:b w:val="0"/>
          <w:bCs/>
        </w:rPr>
      </w:pPr>
      <w:hyperlink r:id="rId29" w:history="1">
        <w:r w:rsidRPr="000369F9">
          <w:rPr>
            <w:rStyle w:val="Hipervnculo"/>
            <w:b w:val="0"/>
            <w:bCs/>
          </w:rPr>
          <w:t>Ley de Gobierno Abierto de Extremadura (LGAEX)</w:t>
        </w:r>
      </w:hyperlink>
    </w:p>
    <w:p w14:paraId="7EF09416" w14:textId="08097964" w:rsidR="00601C24" w:rsidRPr="003942D5" w:rsidRDefault="000369F9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r w:rsidRPr="000369F9">
        <w:rPr>
          <w:rStyle w:val="Hipervnculo"/>
          <w:b w:val="0"/>
          <w:bCs/>
        </w:rPr>
        <w:t xml:space="preserve">Estrategia de transformación </w:t>
      </w:r>
      <w:hyperlink r:id="rId30" w:history="1">
        <w:r w:rsidRPr="000369F9">
          <w:rPr>
            <w:rStyle w:val="Hipervnculo"/>
            <w:b w:val="0"/>
            <w:bCs/>
          </w:rPr>
          <w:t>digital</w:t>
        </w:r>
      </w:hyperlink>
      <w:r w:rsidRPr="000369F9">
        <w:rPr>
          <w:rStyle w:val="Hipervnculo"/>
          <w:b w:val="0"/>
          <w:bCs/>
        </w:rPr>
        <w:t xml:space="preserve"> de Extremadura 2027 </w:t>
      </w:r>
    </w:p>
    <w:p w14:paraId="6E6DFD9C" w14:textId="740B422A" w:rsidR="00601C24" w:rsidRDefault="00601C24" w:rsidP="00601C24">
      <w:pPr>
        <w:pStyle w:val="Ttulo2"/>
        <w:spacing w:line="276" w:lineRule="auto"/>
      </w:pPr>
      <w:r>
        <w:t>Galicia</w:t>
      </w:r>
      <w:r w:rsidRPr="00816E0D">
        <w:t>:</w:t>
      </w:r>
      <w:r>
        <w:t xml:space="preserve"> </w:t>
      </w:r>
    </w:p>
    <w:p w14:paraId="0CA73FFD" w14:textId="374623A7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31" w:history="1">
        <w:r w:rsidR="000369F9" w:rsidRPr="000369F9">
          <w:rPr>
            <w:rStyle w:val="Hipervnculo"/>
          </w:rPr>
          <w:t xml:space="preserve">Portal </w:t>
        </w:r>
        <w:proofErr w:type="spellStart"/>
        <w:r w:rsidR="000369F9" w:rsidRPr="000369F9">
          <w:rPr>
            <w:rStyle w:val="Hipervnculo"/>
          </w:rPr>
          <w:t>Abert@s</w:t>
        </w:r>
        <w:proofErr w:type="spellEnd"/>
      </w:hyperlink>
    </w:p>
    <w:p w14:paraId="074E7932" w14:textId="77777777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estratégico:</w:t>
      </w:r>
    </w:p>
    <w:p w14:paraId="266FE18B" w14:textId="77777777" w:rsidR="000369F9" w:rsidRPr="000369F9" w:rsidRDefault="000369F9" w:rsidP="000369F9">
      <w:pPr>
        <w:pStyle w:val="Vietas"/>
        <w:rPr>
          <w:rStyle w:val="Hipervnculo"/>
          <w:b w:val="0"/>
          <w:bCs/>
        </w:rPr>
      </w:pPr>
      <w:r w:rsidRPr="000369F9">
        <w:rPr>
          <w:b w:val="0"/>
          <w:bCs/>
        </w:rPr>
        <w:lastRenderedPageBreak/>
        <w:fldChar w:fldCharType="begin"/>
      </w:r>
      <w:r w:rsidRPr="000369F9">
        <w:rPr>
          <w:b w:val="0"/>
          <w:bCs/>
        </w:rPr>
        <w:instrText>HYPERLINK "https://www.xunta.gal/dog/Publicados/2019/20190726/AnuncioC3B0-180719-0001_es.html" \t "_self"</w:instrText>
      </w:r>
      <w:r w:rsidRPr="000369F9">
        <w:rPr>
          <w:b w:val="0"/>
          <w:bCs/>
        </w:rPr>
      </w:r>
      <w:r w:rsidRPr="000369F9">
        <w:rPr>
          <w:b w:val="0"/>
          <w:bCs/>
        </w:rPr>
        <w:fldChar w:fldCharType="separate"/>
      </w:r>
      <w:r w:rsidRPr="000369F9">
        <w:rPr>
          <w:rStyle w:val="Hipervnculo"/>
          <w:b w:val="0"/>
          <w:bCs/>
        </w:rPr>
        <w:t>Ley 4/2019, de 17 de julio, de administración digital de Galicia</w:t>
      </w:r>
    </w:p>
    <w:p w14:paraId="2D2C50BD" w14:textId="77777777" w:rsidR="000369F9" w:rsidRPr="000369F9" w:rsidRDefault="000369F9" w:rsidP="000369F9">
      <w:pPr>
        <w:pStyle w:val="Vietas"/>
        <w:rPr>
          <w:rStyle w:val="Hipervnculo"/>
          <w:b w:val="0"/>
          <w:bCs/>
        </w:rPr>
      </w:pPr>
      <w:r w:rsidRPr="000369F9">
        <w:rPr>
          <w:b w:val="0"/>
          <w:bCs/>
        </w:rPr>
        <w:fldChar w:fldCharType="end"/>
      </w:r>
      <w:r w:rsidRPr="000369F9">
        <w:rPr>
          <w:b w:val="0"/>
          <w:bCs/>
        </w:rPr>
        <w:fldChar w:fldCharType="begin"/>
      </w:r>
      <w:r w:rsidRPr="000369F9">
        <w:rPr>
          <w:b w:val="0"/>
          <w:bCs/>
        </w:rPr>
        <w:instrText>HYPERLINK "https://www.xunta.gal/dog/Publicados/2016/20160215/AnuncioC3B0-110216-0001_es.html" \t "_self"</w:instrText>
      </w:r>
      <w:r w:rsidRPr="000369F9">
        <w:rPr>
          <w:b w:val="0"/>
          <w:bCs/>
        </w:rPr>
      </w:r>
      <w:r w:rsidRPr="000369F9">
        <w:rPr>
          <w:b w:val="0"/>
          <w:bCs/>
        </w:rPr>
        <w:fldChar w:fldCharType="separate"/>
      </w:r>
      <w:r w:rsidRPr="000369F9">
        <w:rPr>
          <w:rStyle w:val="Hipervnculo"/>
          <w:b w:val="0"/>
          <w:bCs/>
        </w:rPr>
        <w:t>Ley 1/2016, de 18 de enero, de transparencia y buen gobierno</w:t>
      </w:r>
    </w:p>
    <w:p w14:paraId="182221D4" w14:textId="77777777" w:rsidR="000369F9" w:rsidRPr="000369F9" w:rsidRDefault="000369F9" w:rsidP="000369F9">
      <w:pPr>
        <w:pStyle w:val="Vietas"/>
        <w:rPr>
          <w:b w:val="0"/>
          <w:bCs/>
          <w:color w:val="0563C1" w:themeColor="hyperlink"/>
          <w:u w:val="single"/>
        </w:rPr>
      </w:pPr>
      <w:r w:rsidRPr="000369F9">
        <w:rPr>
          <w:b w:val="0"/>
          <w:bCs/>
        </w:rPr>
        <w:fldChar w:fldCharType="end"/>
      </w:r>
      <w:hyperlink r:id="rId32" w:tgtFrame="_self" w:history="1">
        <w:r w:rsidRPr="000369F9">
          <w:rPr>
            <w:rStyle w:val="Hipervnculo"/>
            <w:b w:val="0"/>
            <w:bCs/>
          </w:rPr>
          <w:t>Decreto 201/2011, de 13 de octubre, por el que se regula la presencia de la Administración general y del sector público autonómico de Galicia en internet</w:t>
        </w:r>
      </w:hyperlink>
    </w:p>
    <w:p w14:paraId="70787A36" w14:textId="77777777" w:rsidR="000369F9" w:rsidRPr="000369F9" w:rsidRDefault="000369F9" w:rsidP="00526656">
      <w:pPr>
        <w:pStyle w:val="Vietas"/>
        <w:spacing w:after="400"/>
        <w:ind w:left="357" w:hanging="357"/>
        <w:rPr>
          <w:rStyle w:val="Hipervnculo"/>
          <w:b w:val="0"/>
          <w:bCs/>
        </w:rPr>
      </w:pPr>
      <w:r w:rsidRPr="000369F9">
        <w:rPr>
          <w:b w:val="0"/>
          <w:bCs/>
        </w:rPr>
        <w:fldChar w:fldCharType="begin"/>
      </w:r>
      <w:r w:rsidRPr="000369F9">
        <w:rPr>
          <w:b w:val="0"/>
          <w:bCs/>
        </w:rPr>
        <w:instrText>HYPERLINK "https://amtega.xunta.gal/sites/default/files/pdf/documento-egd2030.pdf"</w:instrText>
      </w:r>
      <w:r w:rsidRPr="000369F9">
        <w:rPr>
          <w:b w:val="0"/>
          <w:bCs/>
        </w:rPr>
      </w:r>
      <w:r w:rsidRPr="000369F9">
        <w:rPr>
          <w:b w:val="0"/>
          <w:bCs/>
        </w:rPr>
        <w:fldChar w:fldCharType="separate"/>
      </w:r>
      <w:r w:rsidRPr="000369F9">
        <w:rPr>
          <w:rStyle w:val="Hipervnculo"/>
          <w:b w:val="0"/>
          <w:bCs/>
        </w:rPr>
        <w:t>Estrategia Galicia Digital 2030</w:t>
      </w:r>
    </w:p>
    <w:p w14:paraId="3A533D9F" w14:textId="58F54C4C" w:rsidR="000369F9" w:rsidRDefault="000369F9" w:rsidP="000369F9">
      <w:pPr>
        <w:pStyle w:val="Vietas"/>
        <w:numPr>
          <w:ilvl w:val="0"/>
          <w:numId w:val="0"/>
        </w:numPr>
        <w:ind w:left="360"/>
        <w:rPr>
          <w:bCs/>
        </w:rPr>
      </w:pPr>
      <w:r w:rsidRPr="000369F9">
        <w:rPr>
          <w:b w:val="0"/>
          <w:bCs/>
        </w:rPr>
        <w:fldChar w:fldCharType="end"/>
      </w:r>
    </w:p>
    <w:p w14:paraId="43F3FF4C" w14:textId="13D8FDF6" w:rsidR="00601C24" w:rsidRDefault="00601C24" w:rsidP="00601C24">
      <w:pPr>
        <w:pStyle w:val="Ttulo2"/>
        <w:spacing w:line="276" w:lineRule="auto"/>
      </w:pPr>
      <w:r>
        <w:t>Illes Balears</w:t>
      </w:r>
      <w:r w:rsidRPr="00816E0D">
        <w:t>:</w:t>
      </w:r>
      <w:r>
        <w:t xml:space="preserve"> </w:t>
      </w:r>
    </w:p>
    <w:p w14:paraId="0295F00A" w14:textId="074FF095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33" w:history="1">
        <w:r w:rsidR="000369F9" w:rsidRPr="00126823">
          <w:rPr>
            <w:rStyle w:val="Hipervnculo"/>
          </w:rPr>
          <w:t>Portal Datos Abiertos GOIB</w:t>
        </w:r>
      </w:hyperlink>
    </w:p>
    <w:p w14:paraId="76ECBD4E" w14:textId="191F7F28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0369F9">
        <w:rPr>
          <w:b/>
          <w:bCs/>
        </w:rPr>
        <w:t>:</w:t>
      </w:r>
    </w:p>
    <w:p w14:paraId="7081AE29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34" w:history="1">
        <w:r w:rsidRPr="000369F9">
          <w:rPr>
            <w:rStyle w:val="Hipervnculo"/>
            <w:b w:val="0"/>
            <w:bCs/>
          </w:rPr>
          <w:t>Ley 4/2011, de 31 de marzo, de la buena administración y del buen gobierno de las Illes Balears</w:t>
        </w:r>
      </w:hyperlink>
    </w:p>
    <w:p w14:paraId="3A035ACC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35" w:tgtFrame="_blank" w:history="1">
        <w:r w:rsidRPr="000369F9">
          <w:rPr>
            <w:rStyle w:val="Hipervnculo"/>
            <w:b w:val="0"/>
            <w:bCs/>
          </w:rPr>
          <w:t>Ley 1/2019, de 31 de enero, del Gobierno de las Illes Balears</w:t>
        </w:r>
      </w:hyperlink>
    </w:p>
    <w:p w14:paraId="2DBF2059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36" w:tgtFrame="_blank" w:history="1">
        <w:r w:rsidRPr="000369F9">
          <w:rPr>
            <w:rStyle w:val="Hipervnculo"/>
            <w:b w:val="0"/>
            <w:bCs/>
          </w:rPr>
          <w:t>Decreto 1/2019, de 11 de enero, regulador de la comisión para las reclamaciones de acceso a la información pública</w:t>
        </w:r>
      </w:hyperlink>
    </w:p>
    <w:p w14:paraId="1848C0D0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37" w:tgtFrame="_blank" w:history="1">
        <w:r w:rsidRPr="000369F9">
          <w:rPr>
            <w:rStyle w:val="Hipervnculo"/>
            <w:b w:val="0"/>
            <w:bCs/>
          </w:rPr>
          <w:t>Decreto 47/2021, de 3 de diciembre, por el que se crean y regulan la Comisión Interdepartamental de Gobierno Abierto, la Comisión Técnica de Transparencia y la Comisión Técnica de Datos Abiertos</w:t>
        </w:r>
      </w:hyperlink>
    </w:p>
    <w:p w14:paraId="3A19B42B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38" w:tgtFrame="_blank" w:tooltip="Acord del Consell de Govern de 17 d’abril de 2023 pel qual s’estableixen mesures per impulsar l’obertura i reutilització de les dades del Govern de les Illes Balears" w:history="1">
        <w:r w:rsidRPr="000369F9">
          <w:rPr>
            <w:rStyle w:val="Hipervnculo"/>
            <w:b w:val="0"/>
            <w:bCs/>
          </w:rPr>
          <w:t>Acuerdo del Consejo de Gobierno de 17 de abril de 2023 por el que se establecen medidas para impulsar la apertura y reutilización de los datos del Gobierno de las Illes Balears</w:t>
        </w:r>
      </w:hyperlink>
    </w:p>
    <w:p w14:paraId="09B69C0F" w14:textId="558FE212" w:rsidR="003942D5" w:rsidRPr="003942D5" w:rsidRDefault="000369F9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hyperlink r:id="rId39">
        <w:r w:rsidRPr="000369F9">
          <w:rPr>
            <w:rStyle w:val="Hipervnculo"/>
            <w:b w:val="0"/>
            <w:bCs/>
          </w:rPr>
          <w:t>Decreto 20/2026, de 10 de julio, de gobierno y gestión de los datos en la Administración de la Comunidad Autónoma de las Illes Balears y en los entes del sector público autonómico</w:t>
        </w:r>
      </w:hyperlink>
    </w:p>
    <w:p w14:paraId="25A28C72" w14:textId="2FBF86D6" w:rsidR="00601C24" w:rsidRDefault="00601C24" w:rsidP="00601C24">
      <w:pPr>
        <w:pStyle w:val="Ttulo2"/>
        <w:spacing w:line="276" w:lineRule="auto"/>
      </w:pPr>
      <w:r>
        <w:t>La Rioja</w:t>
      </w:r>
      <w:r w:rsidRPr="00816E0D">
        <w:t>:</w:t>
      </w:r>
      <w:r>
        <w:t xml:space="preserve"> </w:t>
      </w:r>
    </w:p>
    <w:p w14:paraId="67F2B1DA" w14:textId="6D5C99B7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40" w:history="1">
        <w:r w:rsidR="000369F9" w:rsidRPr="003D0EBE">
          <w:rPr>
            <w:rStyle w:val="Hipervnculo"/>
          </w:rPr>
          <w:t>Dato abierto</w:t>
        </w:r>
      </w:hyperlink>
    </w:p>
    <w:p w14:paraId="0B3EB707" w14:textId="57F2E501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0369F9">
        <w:rPr>
          <w:b/>
          <w:bCs/>
        </w:rPr>
        <w:t>:</w:t>
      </w:r>
    </w:p>
    <w:p w14:paraId="4146DE43" w14:textId="77777777" w:rsidR="000369F9" w:rsidRPr="000369F9" w:rsidRDefault="000369F9" w:rsidP="000369F9">
      <w:pPr>
        <w:pStyle w:val="Vietas"/>
        <w:rPr>
          <w:rStyle w:val="Hipervnculo"/>
          <w:b w:val="0"/>
          <w:bCs/>
        </w:rPr>
      </w:pPr>
      <w:r w:rsidRPr="000369F9">
        <w:rPr>
          <w:b w:val="0"/>
          <w:bCs/>
        </w:rPr>
        <w:fldChar w:fldCharType="begin"/>
      </w:r>
      <w:r w:rsidRPr="000369F9">
        <w:rPr>
          <w:b w:val="0"/>
          <w:bCs/>
        </w:rPr>
        <w:instrText>HYPERLINK "https://web.larioja.org/normativa?n=2030"</w:instrText>
      </w:r>
      <w:r w:rsidRPr="000369F9">
        <w:rPr>
          <w:b w:val="0"/>
          <w:bCs/>
        </w:rPr>
      </w:r>
      <w:r w:rsidRPr="000369F9">
        <w:rPr>
          <w:b w:val="0"/>
          <w:bCs/>
        </w:rPr>
        <w:fldChar w:fldCharType="separate"/>
      </w:r>
      <w:r w:rsidRPr="000369F9">
        <w:rPr>
          <w:rStyle w:val="Hipervnculo"/>
          <w:b w:val="0"/>
          <w:bCs/>
        </w:rPr>
        <w:t>Ley 3/2014, de 11 de septiembre, de Transparencia y Buen Gobierno de La Rioja</w:t>
      </w:r>
    </w:p>
    <w:p w14:paraId="65CFD8FB" w14:textId="3BB0850A" w:rsidR="00601C24" w:rsidRPr="000369F9" w:rsidRDefault="000369F9" w:rsidP="00526656">
      <w:pPr>
        <w:pStyle w:val="Vietas"/>
        <w:spacing w:after="400"/>
        <w:ind w:left="357" w:hanging="357"/>
      </w:pPr>
      <w:r w:rsidRPr="000369F9">
        <w:fldChar w:fldCharType="end"/>
      </w:r>
      <w:hyperlink r:id="rId41" w:history="1">
        <w:r w:rsidRPr="000369F9">
          <w:rPr>
            <w:rStyle w:val="Hipervnculo"/>
            <w:b w:val="0"/>
            <w:bCs/>
          </w:rPr>
          <w:t>Decreto 19/2013, de 31 de mayo, por el que se regula la reutilización de la información en el Sector Público de la Comunidad Autónoma de La Rioja</w:t>
        </w:r>
      </w:hyperlink>
    </w:p>
    <w:p w14:paraId="71C40ECA" w14:textId="00F018CE" w:rsidR="00601C24" w:rsidRDefault="00601C24" w:rsidP="00601C24">
      <w:pPr>
        <w:pStyle w:val="Ttulo2"/>
        <w:spacing w:line="276" w:lineRule="auto"/>
      </w:pPr>
      <w:r>
        <w:t>C</w:t>
      </w:r>
      <w:r>
        <w:t>omunidad de Madrid</w:t>
      </w:r>
      <w:r w:rsidRPr="00816E0D">
        <w:t>:</w:t>
      </w:r>
      <w:r>
        <w:t xml:space="preserve"> </w:t>
      </w:r>
    </w:p>
    <w:p w14:paraId="09785405" w14:textId="6A0179EC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42" w:history="1">
        <w:r w:rsidR="000369F9" w:rsidRPr="003942D5">
          <w:rPr>
            <w:rStyle w:val="Hipervnculo"/>
          </w:rPr>
          <w:t>Datos abiertos de la Comunidad de Madrid</w:t>
        </w:r>
      </w:hyperlink>
    </w:p>
    <w:p w14:paraId="03D6E305" w14:textId="5FFF2184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proofErr w:type="spellStart"/>
      <w:r w:rsidRPr="009F0CCC">
        <w:rPr>
          <w:b/>
          <w:bCs/>
        </w:rPr>
        <w:t xml:space="preserve">Marco </w:t>
      </w:r>
      <w:proofErr w:type="spellEnd"/>
      <w:r w:rsidRPr="009F0CCC">
        <w:rPr>
          <w:b/>
          <w:bCs/>
        </w:rPr>
        <w:t>estratégico</w:t>
      </w:r>
      <w:r w:rsidR="000369F9">
        <w:rPr>
          <w:b/>
          <w:bCs/>
        </w:rPr>
        <w:t xml:space="preserve">: </w:t>
      </w:r>
    </w:p>
    <w:p w14:paraId="70031B1E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43" w:history="1">
        <w:r w:rsidRPr="000369F9">
          <w:rPr>
            <w:rStyle w:val="Hipervnculo"/>
            <w:b w:val="0"/>
            <w:bCs/>
          </w:rPr>
          <w:t>Ley 10/2019, de 10 de abril, de Transparencia y de Participación de la Comunidad de Madrid</w:t>
        </w:r>
      </w:hyperlink>
    </w:p>
    <w:p w14:paraId="3631EC60" w14:textId="0D686ED7" w:rsidR="000369F9" w:rsidRPr="003942D5" w:rsidRDefault="000369F9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hyperlink r:id="rId44">
        <w:r w:rsidRPr="000369F9">
          <w:rPr>
            <w:rStyle w:val="Hipervnculo"/>
            <w:b w:val="0"/>
            <w:bCs/>
          </w:rPr>
          <w:t>Estrategia de Digitalización 2023-2026</w:t>
        </w:r>
      </w:hyperlink>
    </w:p>
    <w:p w14:paraId="4AA68152" w14:textId="29A4B772" w:rsidR="00601C24" w:rsidRDefault="00601C24" w:rsidP="00601C24">
      <w:pPr>
        <w:pStyle w:val="Ttulo2"/>
        <w:spacing w:line="276" w:lineRule="auto"/>
      </w:pPr>
      <w:r>
        <w:t>Región de Murcia</w:t>
      </w:r>
      <w:r w:rsidRPr="00816E0D">
        <w:t>:</w:t>
      </w:r>
      <w:r>
        <w:t xml:space="preserve"> </w:t>
      </w:r>
    </w:p>
    <w:p w14:paraId="412018D4" w14:textId="77777777" w:rsidR="000369F9" w:rsidRDefault="000369F9" w:rsidP="000369F9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45" w:history="1">
        <w:r w:rsidRPr="000369F9">
          <w:rPr>
            <w:rStyle w:val="Hipervnculo"/>
          </w:rPr>
          <w:t>Datos abiertos de la Región de Murcia</w:t>
        </w:r>
      </w:hyperlink>
    </w:p>
    <w:p w14:paraId="0765658B" w14:textId="77777777" w:rsidR="000369F9" w:rsidRDefault="000369F9" w:rsidP="000369F9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>
        <w:rPr>
          <w:b/>
          <w:bCs/>
        </w:rPr>
        <w:t xml:space="preserve">: </w:t>
      </w:r>
    </w:p>
    <w:p w14:paraId="57F547E2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46" w:history="1">
        <w:r w:rsidRPr="000369F9">
          <w:rPr>
            <w:rStyle w:val="Hipervnculo"/>
            <w:b w:val="0"/>
            <w:bCs/>
          </w:rPr>
          <w:t>Estrategia Regional de Datos Abiertos</w:t>
        </w:r>
      </w:hyperlink>
      <w:r w:rsidRPr="000369F9">
        <w:rPr>
          <w:b w:val="0"/>
          <w:bCs/>
        </w:rPr>
        <w:t xml:space="preserve"> </w:t>
      </w:r>
    </w:p>
    <w:p w14:paraId="77D38064" w14:textId="77777777" w:rsidR="000369F9" w:rsidRPr="000369F9" w:rsidRDefault="000369F9" w:rsidP="000369F9">
      <w:pPr>
        <w:pStyle w:val="Vietas"/>
        <w:rPr>
          <w:b w:val="0"/>
          <w:bCs/>
        </w:rPr>
      </w:pPr>
      <w:hyperlink r:id="rId47" w:history="1">
        <w:r w:rsidRPr="000369F9">
          <w:rPr>
            <w:rStyle w:val="Hipervnculo"/>
            <w:b w:val="0"/>
            <w:bCs/>
          </w:rPr>
          <w:t>Plan Regional de Gobierno Abierto</w:t>
        </w:r>
      </w:hyperlink>
    </w:p>
    <w:p w14:paraId="2861D6FB" w14:textId="644611D8" w:rsidR="00601C24" w:rsidRPr="003942D5" w:rsidRDefault="000369F9" w:rsidP="00526656">
      <w:pPr>
        <w:pStyle w:val="Vietas"/>
        <w:spacing w:after="400"/>
        <w:ind w:left="357" w:hanging="357"/>
        <w:rPr>
          <w:b w:val="0"/>
          <w:bCs/>
        </w:rPr>
      </w:pPr>
      <w:hyperlink r:id="rId48" w:history="1">
        <w:r w:rsidRPr="000369F9">
          <w:rPr>
            <w:rStyle w:val="Hipervnculo"/>
            <w:b w:val="0"/>
            <w:bCs/>
          </w:rPr>
          <w:t>Agenda Digital 2022 – 2027</w:t>
        </w:r>
      </w:hyperlink>
    </w:p>
    <w:p w14:paraId="4C8129C8" w14:textId="1AED662E" w:rsidR="00601C24" w:rsidRDefault="00601C24" w:rsidP="00601C24">
      <w:pPr>
        <w:pStyle w:val="Ttulo2"/>
        <w:spacing w:line="276" w:lineRule="auto"/>
      </w:pPr>
      <w:r w:rsidRPr="00601C24">
        <w:t>Comunidad Foral de Navarra</w:t>
      </w:r>
      <w:r w:rsidRPr="00816E0D">
        <w:t>:</w:t>
      </w:r>
      <w:r>
        <w:t xml:space="preserve"> </w:t>
      </w:r>
    </w:p>
    <w:p w14:paraId="122CCC41" w14:textId="420DF607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49" w:history="1">
        <w:r w:rsidR="003942D5" w:rsidRPr="00FB14B7">
          <w:rPr>
            <w:rStyle w:val="Hipervnculo"/>
          </w:rPr>
          <w:t>Open Data Navarra</w:t>
        </w:r>
      </w:hyperlink>
    </w:p>
    <w:p w14:paraId="27CAC12E" w14:textId="5545176B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3942D5">
        <w:rPr>
          <w:b/>
          <w:bCs/>
        </w:rPr>
        <w:t>:</w:t>
      </w:r>
    </w:p>
    <w:p w14:paraId="4593EDDB" w14:textId="77777777" w:rsidR="003942D5" w:rsidRPr="003942D5" w:rsidRDefault="003942D5" w:rsidP="003942D5">
      <w:pPr>
        <w:pStyle w:val="Vietas"/>
        <w:rPr>
          <w:b w:val="0"/>
          <w:bCs/>
        </w:rPr>
      </w:pPr>
      <w:hyperlink r:id="rId50" w:history="1">
        <w:r w:rsidRPr="003942D5">
          <w:rPr>
            <w:rStyle w:val="Hipervnculo"/>
            <w:b w:val="0"/>
            <w:bCs/>
          </w:rPr>
          <w:t>Ley foral 5/2018, de 17 de mayo, de Transparencia, Acceso a la Información Pública y Buen Gobierno</w:t>
        </w:r>
      </w:hyperlink>
      <w:r w:rsidRPr="003942D5">
        <w:rPr>
          <w:b w:val="0"/>
          <w:bCs/>
        </w:rPr>
        <w:t xml:space="preserve"> </w:t>
      </w:r>
    </w:p>
    <w:p w14:paraId="5718D33B" w14:textId="77777777" w:rsidR="003942D5" w:rsidRPr="003942D5" w:rsidRDefault="003942D5" w:rsidP="003942D5">
      <w:pPr>
        <w:pStyle w:val="Vietas"/>
        <w:rPr>
          <w:b w:val="0"/>
          <w:bCs/>
        </w:rPr>
      </w:pPr>
      <w:hyperlink r:id="rId51">
        <w:r w:rsidRPr="003942D5">
          <w:rPr>
            <w:rStyle w:val="Hipervnculo"/>
            <w:b w:val="0"/>
            <w:bCs/>
          </w:rPr>
          <w:t>II Plan de Gobierno Abierto 2025-2028</w:t>
        </w:r>
      </w:hyperlink>
    </w:p>
    <w:p w14:paraId="38133F98" w14:textId="44268ADE" w:rsidR="00601C24" w:rsidRPr="003942D5" w:rsidRDefault="003942D5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hyperlink r:id="rId52">
        <w:r w:rsidRPr="003942D5">
          <w:rPr>
            <w:rStyle w:val="Hipervnculo"/>
            <w:b w:val="0"/>
            <w:bCs/>
          </w:rPr>
          <w:t>Estrategia Digital Navarra 2030</w:t>
        </w:r>
      </w:hyperlink>
    </w:p>
    <w:p w14:paraId="557B7EA9" w14:textId="0A81B3FE" w:rsidR="00601C24" w:rsidRDefault="00601C24" w:rsidP="00601C24">
      <w:pPr>
        <w:pStyle w:val="Ttulo2"/>
        <w:spacing w:line="276" w:lineRule="auto"/>
      </w:pPr>
      <w:proofErr w:type="spellStart"/>
      <w:r w:rsidRPr="00601C24">
        <w:t>Comunitat</w:t>
      </w:r>
      <w:proofErr w:type="spellEnd"/>
      <w:r w:rsidRPr="00601C24">
        <w:t xml:space="preserve"> Valenciana</w:t>
      </w:r>
      <w:r w:rsidRPr="00816E0D">
        <w:t>:</w:t>
      </w:r>
      <w:r>
        <w:t xml:space="preserve"> </w:t>
      </w:r>
    </w:p>
    <w:p w14:paraId="7DB70E6E" w14:textId="0CB3F77E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53" w:history="1">
        <w:r w:rsidR="003942D5" w:rsidRPr="003942D5">
          <w:rPr>
            <w:rStyle w:val="Hipervnculo"/>
          </w:rPr>
          <w:t xml:space="preserve">Portal de Dades </w:t>
        </w:r>
        <w:proofErr w:type="spellStart"/>
        <w:r w:rsidR="003942D5" w:rsidRPr="003942D5">
          <w:rPr>
            <w:rStyle w:val="Hipervnculo"/>
          </w:rPr>
          <w:t>Obertes</w:t>
        </w:r>
        <w:proofErr w:type="spellEnd"/>
        <w:r w:rsidR="003942D5" w:rsidRPr="003942D5">
          <w:rPr>
            <w:rStyle w:val="Hipervnculo"/>
          </w:rPr>
          <w:t xml:space="preserve"> de la Generalitat Valencianas</w:t>
        </w:r>
      </w:hyperlink>
    </w:p>
    <w:p w14:paraId="63A7D13F" w14:textId="6F2A62C1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3942D5">
        <w:rPr>
          <w:b/>
          <w:bCs/>
        </w:rPr>
        <w:t>:</w:t>
      </w:r>
    </w:p>
    <w:p w14:paraId="20721CE5" w14:textId="77777777" w:rsidR="003942D5" w:rsidRPr="003942D5" w:rsidRDefault="003942D5" w:rsidP="003942D5">
      <w:pPr>
        <w:pStyle w:val="Vietas"/>
        <w:rPr>
          <w:b w:val="0"/>
          <w:bCs/>
        </w:rPr>
      </w:pPr>
      <w:hyperlink r:id="rId54" w:history="1">
        <w:r w:rsidRPr="003942D5">
          <w:rPr>
            <w:rStyle w:val="Hipervnculo"/>
            <w:b w:val="0"/>
            <w:bCs/>
          </w:rPr>
          <w:t>Ley 1/2022, de 13 de abril, de la Generalitat, de Transparencia y Buen Gobierno de la Comunidad Valenciana</w:t>
        </w:r>
      </w:hyperlink>
    </w:p>
    <w:p w14:paraId="54CB43B3" w14:textId="77777777" w:rsidR="003942D5" w:rsidRPr="003942D5" w:rsidRDefault="003942D5" w:rsidP="003942D5">
      <w:pPr>
        <w:pStyle w:val="Vietas"/>
        <w:rPr>
          <w:b w:val="0"/>
          <w:bCs/>
        </w:rPr>
      </w:pPr>
      <w:hyperlink r:id="rId55">
        <w:r w:rsidRPr="003942D5">
          <w:rPr>
            <w:rStyle w:val="Hipervnculo"/>
            <w:b w:val="0"/>
            <w:bCs/>
          </w:rPr>
          <w:t>Estrategia de Gobierno Abierto de la Generalitat 2023-2027</w:t>
        </w:r>
      </w:hyperlink>
    </w:p>
    <w:p w14:paraId="5868B363" w14:textId="38266C27" w:rsidR="00601C24" w:rsidRPr="003942D5" w:rsidRDefault="003942D5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hyperlink r:id="rId56">
        <w:r w:rsidRPr="003942D5">
          <w:rPr>
            <w:rStyle w:val="Hipervnculo"/>
            <w:b w:val="0"/>
            <w:bCs/>
          </w:rPr>
          <w:t>Plan de Transformación Digital 2025</w:t>
        </w:r>
      </w:hyperlink>
    </w:p>
    <w:p w14:paraId="43B6CCAF" w14:textId="2038C255" w:rsidR="00601C24" w:rsidRDefault="00601C24" w:rsidP="00601C24">
      <w:pPr>
        <w:pStyle w:val="Ttulo2"/>
        <w:spacing w:line="276" w:lineRule="auto"/>
      </w:pPr>
      <w:r>
        <w:t>País Vasco</w:t>
      </w:r>
      <w:r w:rsidRPr="00816E0D">
        <w:t>:</w:t>
      </w:r>
      <w:r>
        <w:t xml:space="preserve"> </w:t>
      </w:r>
    </w:p>
    <w:p w14:paraId="56D728BE" w14:textId="1D91FADF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57" w:history="1">
        <w:r w:rsidR="003942D5" w:rsidRPr="00277978">
          <w:rPr>
            <w:rStyle w:val="Hipervnculo"/>
          </w:rPr>
          <w:t>Open data Euskadi</w:t>
        </w:r>
      </w:hyperlink>
    </w:p>
    <w:p w14:paraId="30737553" w14:textId="65466B68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3942D5">
        <w:rPr>
          <w:b/>
          <w:bCs/>
        </w:rPr>
        <w:t>:</w:t>
      </w:r>
    </w:p>
    <w:p w14:paraId="329A1B86" w14:textId="77777777" w:rsidR="003942D5" w:rsidRPr="003942D5" w:rsidRDefault="003942D5" w:rsidP="003942D5">
      <w:pPr>
        <w:pStyle w:val="Vietas"/>
        <w:rPr>
          <w:rStyle w:val="Hipervnculo"/>
          <w:b w:val="0"/>
          <w:bCs/>
        </w:rPr>
      </w:pPr>
      <w:hyperlink r:id="rId58" w:tgtFrame="_blank" w:tooltip="El enlace se abrirá en nueva ventana" w:history="1">
        <w:r w:rsidRPr="003942D5">
          <w:rPr>
            <w:rStyle w:val="Hipervnculo"/>
            <w:b w:val="0"/>
            <w:bCs/>
          </w:rPr>
          <w:t>Decreto 91/2023, de 20 de junio, de atención integral y multicanal a la ciudadanía y acceso a los servicios públicos por medios electrónicos (artículo 36)</w:t>
        </w:r>
      </w:hyperlink>
    </w:p>
    <w:p w14:paraId="5D1EA2D8" w14:textId="77777777" w:rsidR="003942D5" w:rsidRPr="003942D5" w:rsidRDefault="003942D5" w:rsidP="003942D5">
      <w:pPr>
        <w:pStyle w:val="Vietas"/>
        <w:rPr>
          <w:rStyle w:val="Hipervnculo"/>
          <w:b w:val="0"/>
          <w:bCs/>
        </w:rPr>
      </w:pPr>
      <w:r w:rsidRPr="003942D5">
        <w:rPr>
          <w:rStyle w:val="Hipervnculo"/>
          <w:b w:val="0"/>
          <w:bCs/>
        </w:rPr>
        <w:t xml:space="preserve">III Plan de Acción para el Gobierno Abierto </w:t>
      </w:r>
      <w:hyperlink r:id="rId59" w:history="1">
        <w:r w:rsidRPr="003942D5">
          <w:rPr>
            <w:rStyle w:val="Hipervnculo"/>
            <w:b w:val="0"/>
            <w:bCs/>
          </w:rPr>
          <w:t>en</w:t>
        </w:r>
      </w:hyperlink>
      <w:r w:rsidRPr="003942D5">
        <w:rPr>
          <w:rStyle w:val="Hipervnculo"/>
          <w:b w:val="0"/>
          <w:bCs/>
        </w:rPr>
        <w:t xml:space="preserve"> Euskadi 2025-2028</w:t>
      </w:r>
    </w:p>
    <w:p w14:paraId="5E6ACA78" w14:textId="6BB0A193" w:rsidR="00601C24" w:rsidRPr="003942D5" w:rsidRDefault="003942D5" w:rsidP="00526656">
      <w:pPr>
        <w:pStyle w:val="Vietas"/>
        <w:spacing w:after="400"/>
        <w:ind w:left="357" w:hanging="357"/>
        <w:rPr>
          <w:b w:val="0"/>
          <w:bCs/>
          <w:color w:val="0563C1" w:themeColor="hyperlink"/>
          <w:u w:val="single"/>
        </w:rPr>
      </w:pPr>
      <w:hyperlink r:id="rId60" w:history="1">
        <w:r w:rsidRPr="003942D5">
          <w:rPr>
            <w:rStyle w:val="Hipervnculo"/>
            <w:b w:val="0"/>
            <w:bCs/>
          </w:rPr>
          <w:t>Estrategia para la Transformación Digital de Euskadi 2025</w:t>
        </w:r>
      </w:hyperlink>
    </w:p>
    <w:p w14:paraId="41E64F56" w14:textId="147F2B17" w:rsidR="00601C24" w:rsidRDefault="00601C24" w:rsidP="00601C24">
      <w:pPr>
        <w:pStyle w:val="Ttulo2"/>
        <w:spacing w:line="276" w:lineRule="auto"/>
      </w:pPr>
      <w:r>
        <w:lastRenderedPageBreak/>
        <w:t>C</w:t>
      </w:r>
      <w:r>
        <w:t>euta</w:t>
      </w:r>
      <w:r w:rsidRPr="00816E0D">
        <w:t>:</w:t>
      </w:r>
      <w:r>
        <w:t xml:space="preserve"> </w:t>
      </w:r>
    </w:p>
    <w:p w14:paraId="3B7E65BE" w14:textId="07B43404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61">
        <w:r w:rsidR="003942D5" w:rsidRPr="07C340FA">
          <w:rPr>
            <w:rStyle w:val="Hipervnculo"/>
          </w:rPr>
          <w:t>Portal de transparencia</w:t>
        </w:r>
      </w:hyperlink>
    </w:p>
    <w:p w14:paraId="041509DF" w14:textId="3C9117C5" w:rsidR="00601C24" w:rsidRPr="003942D5" w:rsidRDefault="00601C24" w:rsidP="00526656">
      <w:pPr>
        <w:spacing w:after="40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3942D5">
        <w:rPr>
          <w:b/>
          <w:bCs/>
        </w:rPr>
        <w:t xml:space="preserve">: </w:t>
      </w:r>
      <w:r w:rsidR="003942D5" w:rsidRPr="003942D5">
        <w:t>sin marco estratégico propio</w:t>
      </w:r>
      <w:r w:rsidR="003942D5" w:rsidRPr="003942D5">
        <w:rPr>
          <w:b/>
          <w:bCs/>
        </w:rPr>
        <w:t>.</w:t>
      </w:r>
    </w:p>
    <w:p w14:paraId="36285D1F" w14:textId="0671DDCC" w:rsidR="00601C24" w:rsidRDefault="00601C24" w:rsidP="00601C24">
      <w:pPr>
        <w:pStyle w:val="Ttulo2"/>
        <w:spacing w:line="276" w:lineRule="auto"/>
      </w:pPr>
      <w:r>
        <w:t>Melilla</w:t>
      </w:r>
      <w:r w:rsidRPr="00816E0D">
        <w:t>:</w:t>
      </w:r>
      <w:r>
        <w:t xml:space="preserve"> </w:t>
      </w:r>
    </w:p>
    <w:p w14:paraId="45892F13" w14:textId="3C683658" w:rsidR="00601C24" w:rsidRDefault="00601C24" w:rsidP="00601C24">
      <w:pPr>
        <w:spacing w:after="160" w:line="259" w:lineRule="auto"/>
        <w:textAlignment w:val="auto"/>
      </w:pPr>
      <w:r w:rsidRPr="009F0CCC">
        <w:rPr>
          <w:b/>
          <w:bCs/>
        </w:rPr>
        <w:t>Portal</w:t>
      </w:r>
      <w:r>
        <w:rPr>
          <w:b/>
          <w:bCs/>
        </w:rPr>
        <w:t>:</w:t>
      </w:r>
      <w:r>
        <w:t xml:space="preserve"> </w:t>
      </w:r>
      <w:hyperlink r:id="rId62" w:history="1">
        <w:r w:rsidR="003942D5" w:rsidRPr="003942D5">
          <w:rPr>
            <w:rStyle w:val="Hipervnculo"/>
          </w:rPr>
          <w:t>Portal de Datos Abiertos de la Ciudad Autónoma de Melilla</w:t>
        </w:r>
      </w:hyperlink>
    </w:p>
    <w:p w14:paraId="5D61981A" w14:textId="48EECA5B" w:rsidR="00601C24" w:rsidRDefault="00601C24" w:rsidP="00601C24">
      <w:pPr>
        <w:spacing w:after="160" w:line="259" w:lineRule="auto"/>
        <w:textAlignment w:val="auto"/>
        <w:rPr>
          <w:b/>
          <w:bCs/>
        </w:rPr>
      </w:pPr>
      <w:r w:rsidRPr="009F0CCC">
        <w:rPr>
          <w:b/>
          <w:bCs/>
        </w:rPr>
        <w:t>Marco estratégico</w:t>
      </w:r>
      <w:r w:rsidR="003942D5">
        <w:rPr>
          <w:b/>
          <w:bCs/>
        </w:rPr>
        <w:t xml:space="preserve">: </w:t>
      </w:r>
      <w:hyperlink r:id="rId63">
        <w:r w:rsidR="003942D5" w:rsidRPr="003942D5">
          <w:rPr>
            <w:rStyle w:val="Hipervnculo"/>
            <w:color w:val="0070C0"/>
          </w:rPr>
          <w:t>Reglamento de Transparencia y Acceso a la Información Pública de la Ciudad Autónoma de Melilla</w:t>
        </w:r>
      </w:hyperlink>
    </w:p>
    <w:p w14:paraId="51ECCF13" w14:textId="77777777" w:rsidR="00515BD1" w:rsidRDefault="00515BD1" w:rsidP="00B27F45">
      <w:pPr>
        <w:pStyle w:val="Vietas"/>
        <w:numPr>
          <w:ilvl w:val="0"/>
          <w:numId w:val="0"/>
        </w:numPr>
        <w:rPr>
          <w:rFonts w:eastAsiaTheme="minorHAnsi"/>
          <w:b w:val="0"/>
          <w:bCs/>
          <w:lang w:val="es-ES_tradnl" w:eastAsia="en-US"/>
        </w:rPr>
      </w:pPr>
    </w:p>
    <w:p w14:paraId="691A7679" w14:textId="4DABE6F5" w:rsidR="00B56A96" w:rsidRDefault="00B27F45" w:rsidP="005E5C1E">
      <w:pPr>
        <w:pStyle w:val="Resaltado"/>
        <w:spacing w:line="240" w:lineRule="auto"/>
      </w:pPr>
      <w:r w:rsidRPr="00B56A96">
        <w:t>EXPLORA</w:t>
      </w:r>
      <w:r>
        <w:t xml:space="preserve"> </w:t>
      </w:r>
      <w:hyperlink r:id="rId64" w:history="1">
        <w:r w:rsidRPr="00DD789B">
          <w:rPr>
            <w:rStyle w:val="Hipervnculo"/>
          </w:rPr>
          <w:t>DATOS.GOB.ES</w:t>
        </w:r>
      </w:hyperlink>
      <w:r>
        <w:t xml:space="preserve"> Y DESCUBRE CÓMO LOS DATOS ABIERTOS PUEDEN </w:t>
      </w:r>
    </w:p>
    <w:p w14:paraId="5AFB0BB9" w14:textId="69E1FC36" w:rsidR="00144A5F" w:rsidRPr="006860D9" w:rsidRDefault="00B27F45" w:rsidP="005E5C1E">
      <w:pPr>
        <w:pStyle w:val="Resaltado"/>
        <w:spacing w:line="240" w:lineRule="auto"/>
      </w:pPr>
      <w:r>
        <w:t>IMPULSAR TU APRENDIZAJE</w:t>
      </w:r>
    </w:p>
    <w:sectPr w:rsidR="00144A5F" w:rsidRPr="006860D9" w:rsidSect="006D3EC7">
      <w:headerReference w:type="even" r:id="rId65"/>
      <w:headerReference w:type="default" r:id="rId66"/>
      <w:footerReference w:type="default" r:id="rId67"/>
      <w:pgSz w:w="11906" w:h="16838"/>
      <w:pgMar w:top="1279" w:right="1418" w:bottom="1418" w:left="1418" w:header="0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63B37A" w14:textId="77777777" w:rsidR="00D76127" w:rsidRDefault="00D76127" w:rsidP="00B101E5">
      <w:r>
        <w:separator/>
      </w:r>
    </w:p>
  </w:endnote>
  <w:endnote w:type="continuationSeparator" w:id="0">
    <w:p w14:paraId="35C55A12" w14:textId="77777777" w:rsidR="00D76127" w:rsidRDefault="00D76127" w:rsidP="00B1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C28B83-B3E3-044D-87F5-83E7983E126E}"/>
    <w:embedBold r:id="rId2" w:fontKey="{41A4C5D0-2DFB-7043-86DD-BC87B5A473AD}"/>
    <w:embedItalic r:id="rId3" w:fontKey="{8C50BE38-FE12-B14B-9CA2-C1B4391E8B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Bold r:id="rId4" w:fontKey="{C4132CDC-D28E-554A-99D0-CEF283162E8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24CD6A" w14:textId="3CF411D4" w:rsidR="00F571B0" w:rsidRDefault="00272482" w:rsidP="00377142">
    <w:pPr>
      <w:pStyle w:val="Notapiedepgina"/>
      <w:jc w:val="center"/>
    </w:pPr>
    <w:r>
      <w:rPr>
        <w:noProof/>
      </w:rPr>
      <w:drawing>
        <wp:inline distT="0" distB="0" distL="0" distR="0" wp14:anchorId="45A578C0" wp14:editId="6A6BF4ED">
          <wp:extent cx="4851329" cy="334831"/>
          <wp:effectExtent l="0" t="0" r="0" b="0"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943107" name="Imagen 168794310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1329" cy="334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0B217F" w14:textId="77777777" w:rsidR="00D76127" w:rsidRDefault="00D76127" w:rsidP="00B101E5">
      <w:r>
        <w:separator/>
      </w:r>
    </w:p>
  </w:footnote>
  <w:footnote w:type="continuationSeparator" w:id="0">
    <w:p w14:paraId="4FE1FBFF" w14:textId="77777777" w:rsidR="00D76127" w:rsidRDefault="00D76127" w:rsidP="00B1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895561140"/>
      <w:docPartObj>
        <w:docPartGallery w:val="Page Numbers (Top of Page)"/>
        <w:docPartUnique/>
      </w:docPartObj>
    </w:sdtPr>
    <w:sdtContent>
      <w:p w14:paraId="7B3A7978" w14:textId="532D0118" w:rsidR="00670028" w:rsidRDefault="00670028" w:rsidP="00B101E5">
        <w:pPr>
          <w:pStyle w:val="Encabezado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21</w:t>
        </w:r>
        <w:r>
          <w:rPr>
            <w:rStyle w:val="Nmerodepgina"/>
          </w:rPr>
          <w:fldChar w:fldCharType="end"/>
        </w:r>
      </w:p>
    </w:sdtContent>
  </w:sdt>
  <w:p w14:paraId="3301DE8B" w14:textId="77777777" w:rsidR="00670028" w:rsidRDefault="00670028" w:rsidP="00B101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FE211" w14:textId="4751CEA6" w:rsidR="00670028" w:rsidRDefault="00670028" w:rsidP="00B101E5">
    <w:pPr>
      <w:pStyle w:val="Encabezado"/>
      <w:rPr>
        <w:rStyle w:val="Nmerodepgina"/>
      </w:rPr>
    </w:pPr>
  </w:p>
  <w:sdt>
    <w:sdtPr>
      <w:id w:val="-187605989"/>
      <w:docPartObj>
        <w:docPartGallery w:val="Page Numbers (Top of Page)"/>
        <w:docPartUnique/>
      </w:docPartObj>
    </w:sdtPr>
    <w:sdtContent>
      <w:p w14:paraId="3C831439" w14:textId="7760C8E2" w:rsidR="003E6662" w:rsidRPr="003E6662" w:rsidRDefault="003E6662" w:rsidP="00B101E5">
        <w:pPr>
          <w:pStyle w:val="Encabezado"/>
          <w:rPr>
            <w:rFonts w:eastAsiaTheme="minorHAnsi"/>
            <w:b/>
          </w:rPr>
        </w:pPr>
      </w:p>
      <w:p w14:paraId="76ED0866" w14:textId="0BAB9538" w:rsidR="008B59B5" w:rsidRDefault="008B59B5" w:rsidP="00B101E5">
        <w:pPr>
          <w:pStyle w:val="Encabezado"/>
        </w:pPr>
        <w:r>
          <w:tab/>
        </w:r>
        <w: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81C30"/>
    <w:multiLevelType w:val="hybridMultilevel"/>
    <w:tmpl w:val="472A7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52F8F"/>
    <w:multiLevelType w:val="hybridMultilevel"/>
    <w:tmpl w:val="41EA33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27B3"/>
    <w:multiLevelType w:val="multilevel"/>
    <w:tmpl w:val="07603D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D954D0"/>
    <w:multiLevelType w:val="hybridMultilevel"/>
    <w:tmpl w:val="13C02D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C2475"/>
    <w:multiLevelType w:val="hybridMultilevel"/>
    <w:tmpl w:val="924E53A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92A91"/>
    <w:multiLevelType w:val="multilevel"/>
    <w:tmpl w:val="A32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B20FE"/>
    <w:multiLevelType w:val="hybridMultilevel"/>
    <w:tmpl w:val="F70624E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D608B7"/>
    <w:multiLevelType w:val="hybridMultilevel"/>
    <w:tmpl w:val="8AC6421E"/>
    <w:lvl w:ilvl="0" w:tplc="7DC20D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A2494"/>
    <w:multiLevelType w:val="hybridMultilevel"/>
    <w:tmpl w:val="DB169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C0CD8"/>
    <w:multiLevelType w:val="multilevel"/>
    <w:tmpl w:val="D59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C67AED"/>
    <w:multiLevelType w:val="hybridMultilevel"/>
    <w:tmpl w:val="63ECAF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F2141"/>
    <w:multiLevelType w:val="hybridMultilevel"/>
    <w:tmpl w:val="28BAC7B2"/>
    <w:lvl w:ilvl="0" w:tplc="F36884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34474"/>
    <w:multiLevelType w:val="hybridMultilevel"/>
    <w:tmpl w:val="588444D6"/>
    <w:lvl w:ilvl="0" w:tplc="9BE66334">
      <w:numFmt w:val="bullet"/>
      <w:lvlText w:val="•"/>
      <w:lvlJc w:val="left"/>
      <w:pPr>
        <w:ind w:left="720" w:hanging="360"/>
      </w:pPr>
      <w:rPr>
        <w:rFonts w:ascii="Myriad Pro" w:eastAsiaTheme="minorHAnsi" w:hAnsi="Myriad Pr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B422D"/>
    <w:multiLevelType w:val="hybridMultilevel"/>
    <w:tmpl w:val="16BEF7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8F289"/>
    <w:multiLevelType w:val="hybridMultilevel"/>
    <w:tmpl w:val="248C77DA"/>
    <w:lvl w:ilvl="0" w:tplc="84D42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CFB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83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06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2F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E2B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06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7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6E0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B1291"/>
    <w:multiLevelType w:val="multilevel"/>
    <w:tmpl w:val="F710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6E1E1D"/>
    <w:multiLevelType w:val="multilevel"/>
    <w:tmpl w:val="8D88FE68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2" w:hanging="432"/>
      </w:pPr>
    </w:lvl>
    <w:lvl w:ilvl="2">
      <w:start w:val="1"/>
      <w:numFmt w:val="decimal"/>
      <w:lvlText w:val="%1.%2.%3."/>
      <w:lvlJc w:val="left"/>
      <w:pPr>
        <w:ind w:left="1394" w:hanging="504"/>
      </w:pPr>
    </w:lvl>
    <w:lvl w:ilvl="3">
      <w:start w:val="1"/>
      <w:numFmt w:val="decimal"/>
      <w:lvlText w:val="%1.%2.%3.%4."/>
      <w:lvlJc w:val="left"/>
      <w:pPr>
        <w:ind w:left="1898" w:hanging="648"/>
      </w:pPr>
    </w:lvl>
    <w:lvl w:ilvl="4">
      <w:start w:val="1"/>
      <w:numFmt w:val="decimal"/>
      <w:lvlText w:val="%1.%2.%3.%4.%5."/>
      <w:lvlJc w:val="left"/>
      <w:pPr>
        <w:ind w:left="2402" w:hanging="792"/>
      </w:pPr>
    </w:lvl>
    <w:lvl w:ilvl="5">
      <w:start w:val="1"/>
      <w:numFmt w:val="decimal"/>
      <w:lvlText w:val="%1.%2.%3.%4.%5.%6."/>
      <w:lvlJc w:val="left"/>
      <w:pPr>
        <w:ind w:left="2906" w:hanging="936"/>
      </w:pPr>
    </w:lvl>
    <w:lvl w:ilvl="6">
      <w:start w:val="1"/>
      <w:numFmt w:val="decimal"/>
      <w:lvlText w:val="%1.%2.%3.%4.%5.%6.%7."/>
      <w:lvlJc w:val="left"/>
      <w:pPr>
        <w:ind w:left="3410" w:hanging="1080"/>
      </w:pPr>
    </w:lvl>
    <w:lvl w:ilvl="7">
      <w:start w:val="1"/>
      <w:numFmt w:val="decimal"/>
      <w:lvlText w:val="%1.%2.%3.%4.%5.%6.%7.%8."/>
      <w:lvlJc w:val="left"/>
      <w:pPr>
        <w:ind w:left="3914" w:hanging="1224"/>
      </w:pPr>
    </w:lvl>
    <w:lvl w:ilvl="8">
      <w:start w:val="1"/>
      <w:numFmt w:val="decimal"/>
      <w:lvlText w:val="%1.%2.%3.%4.%5.%6.%7.%8.%9."/>
      <w:lvlJc w:val="left"/>
      <w:pPr>
        <w:ind w:left="4490" w:hanging="1440"/>
      </w:pPr>
    </w:lvl>
  </w:abstractNum>
  <w:abstractNum w:abstractNumId="17" w15:restartNumberingAfterBreak="0">
    <w:nsid w:val="3A046CF3"/>
    <w:multiLevelType w:val="multilevel"/>
    <w:tmpl w:val="CF6E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7B0D41"/>
    <w:multiLevelType w:val="hybridMultilevel"/>
    <w:tmpl w:val="3E747C90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4F7"/>
    <w:multiLevelType w:val="hybridMultilevel"/>
    <w:tmpl w:val="B15819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B2782"/>
    <w:multiLevelType w:val="hybridMultilevel"/>
    <w:tmpl w:val="D5F0E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E63BC"/>
    <w:multiLevelType w:val="hybridMultilevel"/>
    <w:tmpl w:val="AA086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12F07"/>
    <w:multiLevelType w:val="hybridMultilevel"/>
    <w:tmpl w:val="ADFC15DA"/>
    <w:lvl w:ilvl="0" w:tplc="D0E8CB0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37AFA"/>
    <w:multiLevelType w:val="hybridMultilevel"/>
    <w:tmpl w:val="BA5E5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C671F"/>
    <w:multiLevelType w:val="multilevel"/>
    <w:tmpl w:val="E886F58C"/>
    <w:lvl w:ilvl="0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1996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4EC551A"/>
    <w:multiLevelType w:val="multilevel"/>
    <w:tmpl w:val="A32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A02688"/>
    <w:multiLevelType w:val="hybridMultilevel"/>
    <w:tmpl w:val="AE4E5A6C"/>
    <w:lvl w:ilvl="0" w:tplc="6C627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666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DC7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8F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E6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EE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F60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7A2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0B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BE71DF3"/>
    <w:multiLevelType w:val="hybridMultilevel"/>
    <w:tmpl w:val="358C8A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30DDD"/>
    <w:multiLevelType w:val="hybridMultilevel"/>
    <w:tmpl w:val="38547F7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651570"/>
    <w:multiLevelType w:val="hybridMultilevel"/>
    <w:tmpl w:val="607036E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D6322"/>
    <w:multiLevelType w:val="multilevel"/>
    <w:tmpl w:val="401A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B44FFC"/>
    <w:multiLevelType w:val="hybridMultilevel"/>
    <w:tmpl w:val="89D895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06386"/>
    <w:multiLevelType w:val="hybridMultilevel"/>
    <w:tmpl w:val="BA5E45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1D02FC"/>
    <w:multiLevelType w:val="hybridMultilevel"/>
    <w:tmpl w:val="C944B5F0"/>
    <w:lvl w:ilvl="0" w:tplc="636493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3B1472"/>
    <w:multiLevelType w:val="hybridMultilevel"/>
    <w:tmpl w:val="8D6A844C"/>
    <w:lvl w:ilvl="0" w:tplc="B19E6F28">
      <w:numFmt w:val="bullet"/>
      <w:pStyle w:val="Vietas"/>
      <w:lvlText w:val="•"/>
      <w:lvlJc w:val="left"/>
      <w:pPr>
        <w:ind w:left="360" w:hanging="360"/>
      </w:pPr>
      <w:rPr>
        <w:rFonts w:ascii="Myriad Pro" w:hAnsi="Myriad Pro" w:cstheme="minorBidi" w:hint="default"/>
        <w:color w:val="E0520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E67B23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3632642"/>
    <w:multiLevelType w:val="multilevel"/>
    <w:tmpl w:val="C88C3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45532A"/>
    <w:multiLevelType w:val="hybridMultilevel"/>
    <w:tmpl w:val="6C7C6922"/>
    <w:lvl w:ilvl="0" w:tplc="078AA25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095DBA"/>
    <w:multiLevelType w:val="hybridMultilevel"/>
    <w:tmpl w:val="CA92DCE0"/>
    <w:lvl w:ilvl="0" w:tplc="66FE888C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194B41"/>
    <w:multiLevelType w:val="hybridMultilevel"/>
    <w:tmpl w:val="627EE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27B6D"/>
    <w:multiLevelType w:val="hybridMultilevel"/>
    <w:tmpl w:val="CB72727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666F4"/>
    <w:multiLevelType w:val="hybridMultilevel"/>
    <w:tmpl w:val="97926B08"/>
    <w:lvl w:ilvl="0" w:tplc="49E2EFF8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56389"/>
    <w:multiLevelType w:val="hybridMultilevel"/>
    <w:tmpl w:val="AD087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C2B21"/>
    <w:multiLevelType w:val="hybridMultilevel"/>
    <w:tmpl w:val="DA4C32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758765">
    <w:abstractNumId w:val="19"/>
  </w:num>
  <w:num w:numId="2" w16cid:durableId="96561081">
    <w:abstractNumId w:val="8"/>
  </w:num>
  <w:num w:numId="3" w16cid:durableId="379936479">
    <w:abstractNumId w:val="12"/>
  </w:num>
  <w:num w:numId="4" w16cid:durableId="362052091">
    <w:abstractNumId w:val="34"/>
  </w:num>
  <w:num w:numId="5" w16cid:durableId="67458365">
    <w:abstractNumId w:val="7"/>
  </w:num>
  <w:num w:numId="6" w16cid:durableId="1614630340">
    <w:abstractNumId w:val="26"/>
  </w:num>
  <w:num w:numId="7" w16cid:durableId="894850991">
    <w:abstractNumId w:val="6"/>
  </w:num>
  <w:num w:numId="8" w16cid:durableId="1140532972">
    <w:abstractNumId w:val="40"/>
  </w:num>
  <w:num w:numId="9" w16cid:durableId="2077236712">
    <w:abstractNumId w:val="29"/>
  </w:num>
  <w:num w:numId="10" w16cid:durableId="449053245">
    <w:abstractNumId w:val="22"/>
  </w:num>
  <w:num w:numId="11" w16cid:durableId="1566718521">
    <w:abstractNumId w:val="16"/>
  </w:num>
  <w:num w:numId="12" w16cid:durableId="1822035648">
    <w:abstractNumId w:val="35"/>
  </w:num>
  <w:num w:numId="13" w16cid:durableId="1059210924">
    <w:abstractNumId w:val="24"/>
  </w:num>
  <w:num w:numId="14" w16cid:durableId="12924459">
    <w:abstractNumId w:val="2"/>
  </w:num>
  <w:num w:numId="15" w16cid:durableId="1395549536">
    <w:abstractNumId w:val="36"/>
  </w:num>
  <w:num w:numId="16" w16cid:durableId="2060012988">
    <w:abstractNumId w:val="27"/>
  </w:num>
  <w:num w:numId="17" w16cid:durableId="1728068474">
    <w:abstractNumId w:val="9"/>
  </w:num>
  <w:num w:numId="18" w16cid:durableId="1784380581">
    <w:abstractNumId w:val="30"/>
  </w:num>
  <w:num w:numId="19" w16cid:durableId="1265384458">
    <w:abstractNumId w:val="11"/>
  </w:num>
  <w:num w:numId="20" w16cid:durableId="1893301530">
    <w:abstractNumId w:val="13"/>
  </w:num>
  <w:num w:numId="21" w16cid:durableId="564145572">
    <w:abstractNumId w:val="10"/>
  </w:num>
  <w:num w:numId="22" w16cid:durableId="1702781646">
    <w:abstractNumId w:val="0"/>
  </w:num>
  <w:num w:numId="23" w16cid:durableId="1030228366">
    <w:abstractNumId w:val="3"/>
  </w:num>
  <w:num w:numId="24" w16cid:durableId="979501838">
    <w:abstractNumId w:val="17"/>
  </w:num>
  <w:num w:numId="25" w16cid:durableId="1018309768">
    <w:abstractNumId w:val="15"/>
  </w:num>
  <w:num w:numId="26" w16cid:durableId="1395734216">
    <w:abstractNumId w:val="5"/>
  </w:num>
  <w:num w:numId="27" w16cid:durableId="436759496">
    <w:abstractNumId w:val="25"/>
  </w:num>
  <w:num w:numId="28" w16cid:durableId="1339238438">
    <w:abstractNumId w:val="42"/>
  </w:num>
  <w:num w:numId="29" w16cid:durableId="2066293460">
    <w:abstractNumId w:val="14"/>
  </w:num>
  <w:num w:numId="30" w16cid:durableId="1204100738">
    <w:abstractNumId w:val="43"/>
  </w:num>
  <w:num w:numId="31" w16cid:durableId="601452894">
    <w:abstractNumId w:val="39"/>
  </w:num>
  <w:num w:numId="32" w16cid:durableId="1905018511">
    <w:abstractNumId w:val="21"/>
  </w:num>
  <w:num w:numId="33" w16cid:durableId="364403281">
    <w:abstractNumId w:val="28"/>
  </w:num>
  <w:num w:numId="34" w16cid:durableId="1747608506">
    <w:abstractNumId w:val="20"/>
  </w:num>
  <w:num w:numId="35" w16cid:durableId="464087920">
    <w:abstractNumId w:val="32"/>
  </w:num>
  <w:num w:numId="36" w16cid:durableId="833184500">
    <w:abstractNumId w:val="23"/>
  </w:num>
  <w:num w:numId="37" w16cid:durableId="1849636268">
    <w:abstractNumId w:val="4"/>
  </w:num>
  <w:num w:numId="38" w16cid:durableId="2100323425">
    <w:abstractNumId w:val="41"/>
  </w:num>
  <w:num w:numId="39" w16cid:durableId="686252122">
    <w:abstractNumId w:val="33"/>
  </w:num>
  <w:num w:numId="40" w16cid:durableId="1595556878">
    <w:abstractNumId w:val="1"/>
  </w:num>
  <w:num w:numId="41" w16cid:durableId="1429885843">
    <w:abstractNumId w:val="37"/>
  </w:num>
  <w:num w:numId="42" w16cid:durableId="1283882597">
    <w:abstractNumId w:val="38"/>
  </w:num>
  <w:num w:numId="43" w16cid:durableId="1267494660">
    <w:abstractNumId w:val="18"/>
  </w:num>
  <w:num w:numId="44" w16cid:durableId="2010935976">
    <w:abstractNumId w:val="3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embedTrueTypeFonts/>
  <w:embedSystemFonts/>
  <w:saveSubset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7F"/>
    <w:rsid w:val="00021AAC"/>
    <w:rsid w:val="00023BA9"/>
    <w:rsid w:val="000267AC"/>
    <w:rsid w:val="00036450"/>
    <w:rsid w:val="000369F9"/>
    <w:rsid w:val="000443AB"/>
    <w:rsid w:val="00045BD5"/>
    <w:rsid w:val="00052E78"/>
    <w:rsid w:val="00062B01"/>
    <w:rsid w:val="000A3F0F"/>
    <w:rsid w:val="000A5767"/>
    <w:rsid w:val="000B0229"/>
    <w:rsid w:val="000B6913"/>
    <w:rsid w:val="000B6936"/>
    <w:rsid w:val="000C7A9B"/>
    <w:rsid w:val="000D71F0"/>
    <w:rsid w:val="00105F09"/>
    <w:rsid w:val="00144A5F"/>
    <w:rsid w:val="00154EC3"/>
    <w:rsid w:val="00156AA3"/>
    <w:rsid w:val="00156BD8"/>
    <w:rsid w:val="0016664A"/>
    <w:rsid w:val="00172995"/>
    <w:rsid w:val="001A19FF"/>
    <w:rsid w:val="001A6501"/>
    <w:rsid w:val="001D632E"/>
    <w:rsid w:val="001F0821"/>
    <w:rsid w:val="001F5E70"/>
    <w:rsid w:val="002067B0"/>
    <w:rsid w:val="002346D3"/>
    <w:rsid w:val="00272482"/>
    <w:rsid w:val="00276D84"/>
    <w:rsid w:val="00281038"/>
    <w:rsid w:val="00286CFB"/>
    <w:rsid w:val="002B47C0"/>
    <w:rsid w:val="002C2845"/>
    <w:rsid w:val="002D0259"/>
    <w:rsid w:val="002D13C0"/>
    <w:rsid w:val="002D4D5B"/>
    <w:rsid w:val="002F504F"/>
    <w:rsid w:val="00312142"/>
    <w:rsid w:val="00313BD0"/>
    <w:rsid w:val="00315465"/>
    <w:rsid w:val="0034127E"/>
    <w:rsid w:val="00346FE2"/>
    <w:rsid w:val="00351945"/>
    <w:rsid w:val="00355A95"/>
    <w:rsid w:val="00361781"/>
    <w:rsid w:val="00367E69"/>
    <w:rsid w:val="00377142"/>
    <w:rsid w:val="00387BF9"/>
    <w:rsid w:val="003942D5"/>
    <w:rsid w:val="0039447C"/>
    <w:rsid w:val="003A2091"/>
    <w:rsid w:val="003B3272"/>
    <w:rsid w:val="003B719A"/>
    <w:rsid w:val="003C4F6B"/>
    <w:rsid w:val="003E2FA8"/>
    <w:rsid w:val="003E455E"/>
    <w:rsid w:val="003E55B6"/>
    <w:rsid w:val="003E6662"/>
    <w:rsid w:val="00402C28"/>
    <w:rsid w:val="004068C2"/>
    <w:rsid w:val="004243F5"/>
    <w:rsid w:val="0042759B"/>
    <w:rsid w:val="00436BD9"/>
    <w:rsid w:val="00446C97"/>
    <w:rsid w:val="00465FDC"/>
    <w:rsid w:val="00471AFD"/>
    <w:rsid w:val="00484C60"/>
    <w:rsid w:val="00486BD7"/>
    <w:rsid w:val="00497049"/>
    <w:rsid w:val="004A2B5E"/>
    <w:rsid w:val="004C4987"/>
    <w:rsid w:val="004D0938"/>
    <w:rsid w:val="004E4F13"/>
    <w:rsid w:val="005057E5"/>
    <w:rsid w:val="00515BD1"/>
    <w:rsid w:val="00526656"/>
    <w:rsid w:val="005279EF"/>
    <w:rsid w:val="00531E6A"/>
    <w:rsid w:val="005363C5"/>
    <w:rsid w:val="00553032"/>
    <w:rsid w:val="00564743"/>
    <w:rsid w:val="00577915"/>
    <w:rsid w:val="00587BDE"/>
    <w:rsid w:val="00592EBE"/>
    <w:rsid w:val="005A069E"/>
    <w:rsid w:val="005B6883"/>
    <w:rsid w:val="005C0316"/>
    <w:rsid w:val="005C165C"/>
    <w:rsid w:val="005C3D8A"/>
    <w:rsid w:val="005D5FDB"/>
    <w:rsid w:val="005E5C1E"/>
    <w:rsid w:val="0060084F"/>
    <w:rsid w:val="00601C24"/>
    <w:rsid w:val="006069B8"/>
    <w:rsid w:val="00610A64"/>
    <w:rsid w:val="006141DC"/>
    <w:rsid w:val="00636D28"/>
    <w:rsid w:val="00637499"/>
    <w:rsid w:val="006601E4"/>
    <w:rsid w:val="006649C2"/>
    <w:rsid w:val="00670028"/>
    <w:rsid w:val="00684AB1"/>
    <w:rsid w:val="006860D9"/>
    <w:rsid w:val="0068644C"/>
    <w:rsid w:val="006A4CF2"/>
    <w:rsid w:val="006B6726"/>
    <w:rsid w:val="006C06E4"/>
    <w:rsid w:val="006C33D4"/>
    <w:rsid w:val="006C57EE"/>
    <w:rsid w:val="006D3EC7"/>
    <w:rsid w:val="006E6CA1"/>
    <w:rsid w:val="006F02C3"/>
    <w:rsid w:val="006F62FA"/>
    <w:rsid w:val="006F644F"/>
    <w:rsid w:val="00700E79"/>
    <w:rsid w:val="0070502B"/>
    <w:rsid w:val="00711691"/>
    <w:rsid w:val="007404DF"/>
    <w:rsid w:val="0074416B"/>
    <w:rsid w:val="007479D3"/>
    <w:rsid w:val="00782A29"/>
    <w:rsid w:val="007B6C0C"/>
    <w:rsid w:val="007C007D"/>
    <w:rsid w:val="007C0754"/>
    <w:rsid w:val="007C425E"/>
    <w:rsid w:val="007D225C"/>
    <w:rsid w:val="007E40E7"/>
    <w:rsid w:val="007E614D"/>
    <w:rsid w:val="00802010"/>
    <w:rsid w:val="00806371"/>
    <w:rsid w:val="00816E0D"/>
    <w:rsid w:val="00824D68"/>
    <w:rsid w:val="008364EE"/>
    <w:rsid w:val="00836EC9"/>
    <w:rsid w:val="0084003C"/>
    <w:rsid w:val="00886458"/>
    <w:rsid w:val="00897065"/>
    <w:rsid w:val="008A474A"/>
    <w:rsid w:val="008B59B5"/>
    <w:rsid w:val="008C2180"/>
    <w:rsid w:val="008C2761"/>
    <w:rsid w:val="008C2D17"/>
    <w:rsid w:val="008C3FD5"/>
    <w:rsid w:val="008D5A77"/>
    <w:rsid w:val="008E296A"/>
    <w:rsid w:val="008E51B8"/>
    <w:rsid w:val="008F3590"/>
    <w:rsid w:val="009060F6"/>
    <w:rsid w:val="00932FE7"/>
    <w:rsid w:val="009356D9"/>
    <w:rsid w:val="00955C3D"/>
    <w:rsid w:val="0095742F"/>
    <w:rsid w:val="00961104"/>
    <w:rsid w:val="00962432"/>
    <w:rsid w:val="009643E0"/>
    <w:rsid w:val="0098406F"/>
    <w:rsid w:val="009872C4"/>
    <w:rsid w:val="00995F86"/>
    <w:rsid w:val="009A5BC8"/>
    <w:rsid w:val="009A5D0D"/>
    <w:rsid w:val="009A6F52"/>
    <w:rsid w:val="009B38CE"/>
    <w:rsid w:val="009C0737"/>
    <w:rsid w:val="009C7DD6"/>
    <w:rsid w:val="009E6DB9"/>
    <w:rsid w:val="009F0CCC"/>
    <w:rsid w:val="00A115E8"/>
    <w:rsid w:val="00A35028"/>
    <w:rsid w:val="00A403DB"/>
    <w:rsid w:val="00A415F4"/>
    <w:rsid w:val="00A44622"/>
    <w:rsid w:val="00A4709C"/>
    <w:rsid w:val="00A51D4F"/>
    <w:rsid w:val="00A54880"/>
    <w:rsid w:val="00A60143"/>
    <w:rsid w:val="00A63C88"/>
    <w:rsid w:val="00A64FC6"/>
    <w:rsid w:val="00A67B3E"/>
    <w:rsid w:val="00A719B0"/>
    <w:rsid w:val="00A76AE2"/>
    <w:rsid w:val="00A9128F"/>
    <w:rsid w:val="00A977E5"/>
    <w:rsid w:val="00AA273B"/>
    <w:rsid w:val="00AA6253"/>
    <w:rsid w:val="00AB0583"/>
    <w:rsid w:val="00AB120A"/>
    <w:rsid w:val="00AB5147"/>
    <w:rsid w:val="00AB7C22"/>
    <w:rsid w:val="00AD45CB"/>
    <w:rsid w:val="00AE398C"/>
    <w:rsid w:val="00AE4EEF"/>
    <w:rsid w:val="00AE5139"/>
    <w:rsid w:val="00AF2EB6"/>
    <w:rsid w:val="00B04621"/>
    <w:rsid w:val="00B101E5"/>
    <w:rsid w:val="00B27F45"/>
    <w:rsid w:val="00B32132"/>
    <w:rsid w:val="00B444E8"/>
    <w:rsid w:val="00B56A96"/>
    <w:rsid w:val="00B62C78"/>
    <w:rsid w:val="00B658A4"/>
    <w:rsid w:val="00B71FA3"/>
    <w:rsid w:val="00B87801"/>
    <w:rsid w:val="00BA710C"/>
    <w:rsid w:val="00BB6482"/>
    <w:rsid w:val="00BC3CE5"/>
    <w:rsid w:val="00BC5F55"/>
    <w:rsid w:val="00BD45E4"/>
    <w:rsid w:val="00BE3CFF"/>
    <w:rsid w:val="00BF7935"/>
    <w:rsid w:val="00C04E89"/>
    <w:rsid w:val="00C07306"/>
    <w:rsid w:val="00C120EE"/>
    <w:rsid w:val="00C12320"/>
    <w:rsid w:val="00C1697F"/>
    <w:rsid w:val="00C328B7"/>
    <w:rsid w:val="00C35609"/>
    <w:rsid w:val="00C43339"/>
    <w:rsid w:val="00C45DD2"/>
    <w:rsid w:val="00C542FA"/>
    <w:rsid w:val="00C604BE"/>
    <w:rsid w:val="00C8384E"/>
    <w:rsid w:val="00C87CD2"/>
    <w:rsid w:val="00CA19AC"/>
    <w:rsid w:val="00CB4BAA"/>
    <w:rsid w:val="00CB528D"/>
    <w:rsid w:val="00CB6981"/>
    <w:rsid w:val="00D03BB6"/>
    <w:rsid w:val="00D11E29"/>
    <w:rsid w:val="00D1599A"/>
    <w:rsid w:val="00D15A45"/>
    <w:rsid w:val="00D20C1B"/>
    <w:rsid w:val="00D30433"/>
    <w:rsid w:val="00D462AC"/>
    <w:rsid w:val="00D52E74"/>
    <w:rsid w:val="00D63ACD"/>
    <w:rsid w:val="00D6756B"/>
    <w:rsid w:val="00D76127"/>
    <w:rsid w:val="00D80165"/>
    <w:rsid w:val="00D90B1F"/>
    <w:rsid w:val="00D973D3"/>
    <w:rsid w:val="00DB4ABE"/>
    <w:rsid w:val="00DD789B"/>
    <w:rsid w:val="00DE1227"/>
    <w:rsid w:val="00DE61F5"/>
    <w:rsid w:val="00E0577E"/>
    <w:rsid w:val="00E10C1C"/>
    <w:rsid w:val="00E119C1"/>
    <w:rsid w:val="00E3052E"/>
    <w:rsid w:val="00E378CE"/>
    <w:rsid w:val="00E71908"/>
    <w:rsid w:val="00E84293"/>
    <w:rsid w:val="00EC164D"/>
    <w:rsid w:val="00ED358A"/>
    <w:rsid w:val="00ED7DBA"/>
    <w:rsid w:val="00EE668A"/>
    <w:rsid w:val="00F017B1"/>
    <w:rsid w:val="00F11496"/>
    <w:rsid w:val="00F20509"/>
    <w:rsid w:val="00F24F20"/>
    <w:rsid w:val="00F32DE5"/>
    <w:rsid w:val="00F56BF4"/>
    <w:rsid w:val="00F56D34"/>
    <w:rsid w:val="00F571B0"/>
    <w:rsid w:val="00F57D97"/>
    <w:rsid w:val="00F6099F"/>
    <w:rsid w:val="00F623DA"/>
    <w:rsid w:val="00F67811"/>
    <w:rsid w:val="00F67989"/>
    <w:rsid w:val="00F8095A"/>
    <w:rsid w:val="00F82646"/>
    <w:rsid w:val="00FA797F"/>
    <w:rsid w:val="00FD5B84"/>
    <w:rsid w:val="00FD7B42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288FC"/>
  <w15:chartTrackingRefBased/>
  <w15:docId w15:val="{8D040D66-7E7E-4EEC-ABF0-3F80461D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02B"/>
    <w:pPr>
      <w:spacing w:after="0" w:line="240" w:lineRule="auto"/>
      <w:textAlignment w:val="baseline"/>
    </w:pPr>
    <w:rPr>
      <w:rFonts w:ascii="Calibri" w:eastAsia="Times New Roman" w:hAnsi="Calibri" w:cs="Calibri"/>
      <w:sz w:val="28"/>
      <w:szCs w:val="28"/>
      <w:lang w:eastAsia="es-ES"/>
    </w:rPr>
  </w:style>
  <w:style w:type="paragraph" w:styleId="Ttulo1">
    <w:name w:val="heading 1"/>
    <w:link w:val="Ttulo1Car"/>
    <w:uiPriority w:val="9"/>
    <w:qFormat/>
    <w:rsid w:val="003E6662"/>
    <w:pPr>
      <w:keepNext/>
      <w:keepLines/>
      <w:spacing w:before="240" w:after="360"/>
      <w:contextualSpacing/>
      <w:jc w:val="center"/>
      <w:outlineLvl w:val="0"/>
    </w:pPr>
    <w:rPr>
      <w:rFonts w:ascii="Montserrat" w:eastAsiaTheme="majorEastAsia" w:hAnsi="Montserrat" w:cstheme="majorBidi"/>
      <w:b/>
      <w:color w:val="0A4476"/>
      <w:sz w:val="44"/>
      <w:szCs w:val="44"/>
    </w:rPr>
  </w:style>
  <w:style w:type="paragraph" w:styleId="Ttulo2">
    <w:name w:val="heading 2"/>
    <w:basedOn w:val="paragraph"/>
    <w:link w:val="Ttulo2Car"/>
    <w:autoRedefine/>
    <w:uiPriority w:val="9"/>
    <w:unhideWhenUsed/>
    <w:qFormat/>
    <w:rsid w:val="00684AB1"/>
    <w:pPr>
      <w:spacing w:before="0" w:beforeAutospacing="0" w:after="0" w:afterAutospacing="0"/>
      <w:outlineLvl w:val="1"/>
    </w:pPr>
    <w:rPr>
      <w:rFonts w:ascii="Montserrat" w:hAnsi="Montserrat"/>
      <w:b/>
      <w:bCs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84AB1"/>
    <w:pPr>
      <w:keepNext/>
      <w:keepLines/>
      <w:numPr>
        <w:ilvl w:val="2"/>
        <w:numId w:val="13"/>
      </w:numPr>
      <w:spacing w:before="240" w:after="240"/>
      <w:ind w:left="0" w:firstLine="0"/>
      <w:contextualSpacing/>
      <w:outlineLvl w:val="2"/>
    </w:pPr>
    <w:rPr>
      <w:rFonts w:eastAsiaTheme="majorEastAsia" w:cstheme="majorBidi"/>
      <w:b/>
      <w:color w:val="225D7D"/>
      <w:sz w:val="32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709C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45E7C" w:themeColor="text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A29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18445C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2A29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02D3D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2A29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2D3D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2A29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2A29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saltado">
    <w:name w:val="Resaltado"/>
    <w:basedOn w:val="Normal"/>
    <w:link w:val="ResaltadoCar"/>
    <w:qFormat/>
    <w:rsid w:val="00B71FA3"/>
    <w:pPr>
      <w:spacing w:line="360" w:lineRule="auto"/>
    </w:pPr>
    <w:rPr>
      <w:rFonts w:eastAsia="Arial Unicode MS" w:cs="Arial Unicode MS"/>
      <w:b/>
      <w:bCs/>
      <w:color w:val="0A4476"/>
    </w:rPr>
  </w:style>
  <w:style w:type="character" w:customStyle="1" w:styleId="ResaltadoCar">
    <w:name w:val="Resaltado Car"/>
    <w:basedOn w:val="Fuentedeprrafopredeter"/>
    <w:link w:val="Resaltado"/>
    <w:rsid w:val="00B71FA3"/>
    <w:rPr>
      <w:rFonts w:eastAsia="Arial Unicode MS" w:cs="Arial Unicode MS"/>
      <w:b/>
      <w:bCs/>
      <w:color w:val="0A4476"/>
    </w:rPr>
  </w:style>
  <w:style w:type="character" w:customStyle="1" w:styleId="Ttulo2Car">
    <w:name w:val="Título 2 Car"/>
    <w:basedOn w:val="Fuentedeprrafopredeter"/>
    <w:link w:val="Ttulo2"/>
    <w:uiPriority w:val="9"/>
    <w:rsid w:val="00684AB1"/>
    <w:rPr>
      <w:rFonts w:ascii="Montserrat" w:eastAsia="Times New Roman" w:hAnsi="Montserrat" w:cs="Times New Roman"/>
      <w:b/>
      <w:bCs/>
      <w:sz w:val="32"/>
      <w:szCs w:val="32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84AB1"/>
    <w:rPr>
      <w:rFonts w:ascii="Calibri" w:eastAsiaTheme="majorEastAsia" w:hAnsi="Calibri" w:cstheme="majorBidi"/>
      <w:b/>
      <w:color w:val="225D7D"/>
      <w:sz w:val="32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E6662"/>
    <w:rPr>
      <w:rFonts w:ascii="Montserrat" w:eastAsiaTheme="majorEastAsia" w:hAnsi="Montserrat" w:cstheme="majorBidi"/>
      <w:b/>
      <w:color w:val="0A4476"/>
      <w:sz w:val="44"/>
      <w:szCs w:val="44"/>
    </w:rPr>
  </w:style>
  <w:style w:type="paragraph" w:styleId="Subttulo">
    <w:name w:val="Subtitle"/>
    <w:next w:val="Normal"/>
    <w:link w:val="SubttuloCar"/>
    <w:uiPriority w:val="11"/>
    <w:qFormat/>
    <w:rsid w:val="00105F0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05F09"/>
    <w:rPr>
      <w:rFonts w:eastAsiaTheme="minorEastAsia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105F09"/>
    <w:rPr>
      <w:rFonts w:asciiTheme="minorHAnsi" w:hAnsiTheme="minorHAnsi"/>
      <w:i/>
      <w:iCs/>
      <w:color w:val="404040" w:themeColor="text1" w:themeTint="BF"/>
      <w:sz w:val="22"/>
    </w:rPr>
  </w:style>
  <w:style w:type="character" w:styleId="nfasis">
    <w:name w:val="Emphasis"/>
    <w:basedOn w:val="Fuentedeprrafopredeter"/>
    <w:uiPriority w:val="20"/>
    <w:qFormat/>
    <w:rsid w:val="00105F09"/>
    <w:rPr>
      <w:rFonts w:asciiTheme="minorHAnsi" w:hAnsiTheme="minorHAnsi"/>
      <w:i/>
      <w:iCs/>
    </w:rPr>
  </w:style>
  <w:style w:type="character" w:styleId="nfasisintenso">
    <w:name w:val="Intense Emphasis"/>
    <w:basedOn w:val="Fuentedeprrafopredeter"/>
    <w:uiPriority w:val="21"/>
    <w:qFormat/>
    <w:rsid w:val="00B71FA3"/>
    <w:rPr>
      <w:i/>
      <w:iCs/>
      <w:color w:val="0A4476"/>
    </w:rPr>
  </w:style>
  <w:style w:type="character" w:styleId="Fuerte">
    <w:name w:val="Strong"/>
    <w:basedOn w:val="Fuentedeprrafopredeter"/>
    <w:uiPriority w:val="22"/>
    <w:qFormat/>
    <w:rsid w:val="00FA797F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AE4EEF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E4EEF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1FA3"/>
    <w:pPr>
      <w:pBdr>
        <w:top w:val="single" w:sz="4" w:space="10" w:color="205C7B" w:themeColor="accent1"/>
        <w:bottom w:val="single" w:sz="4" w:space="10" w:color="205C7B" w:themeColor="accent1"/>
      </w:pBdr>
      <w:spacing w:before="360" w:after="360"/>
      <w:ind w:left="864" w:right="864"/>
      <w:jc w:val="center"/>
    </w:pPr>
    <w:rPr>
      <w:i/>
      <w:iCs/>
      <w:color w:val="0A447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1FA3"/>
    <w:rPr>
      <w:i/>
      <w:iCs/>
      <w:color w:val="0A4476"/>
    </w:rPr>
  </w:style>
  <w:style w:type="character" w:styleId="Referenciasutil">
    <w:name w:val="Subtle Reference"/>
    <w:basedOn w:val="Fuentedeprrafopredeter"/>
    <w:uiPriority w:val="31"/>
    <w:qFormat/>
    <w:rsid w:val="00FA797F"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351945"/>
    <w:rPr>
      <w:b/>
      <w:bCs/>
      <w:smallCaps/>
      <w:color w:val="225D7D"/>
      <w:spacing w:val="5"/>
    </w:rPr>
  </w:style>
  <w:style w:type="character" w:styleId="Ttulodellibro">
    <w:name w:val="Book Title"/>
    <w:basedOn w:val="Fuentedeprrafopredeter"/>
    <w:uiPriority w:val="33"/>
    <w:qFormat/>
    <w:rsid w:val="00FA797F"/>
    <w:rPr>
      <w:b/>
      <w:bCs/>
      <w:i/>
      <w:iCs/>
      <w:spacing w:val="5"/>
    </w:rPr>
  </w:style>
  <w:style w:type="paragraph" w:styleId="Prrafodelista">
    <w:name w:val="List Paragraph"/>
    <w:basedOn w:val="Normal"/>
    <w:link w:val="PrrafodelistaCar"/>
    <w:uiPriority w:val="34"/>
    <w:qFormat/>
    <w:rsid w:val="00C8384E"/>
    <w:pPr>
      <w:ind w:left="720"/>
      <w:contextualSpacing/>
    </w:pPr>
  </w:style>
  <w:style w:type="table" w:styleId="Tablaconcuadrcula">
    <w:name w:val="Table Grid"/>
    <w:basedOn w:val="Tablanormal"/>
    <w:uiPriority w:val="39"/>
    <w:rsid w:val="0028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286CFB"/>
    <w:pPr>
      <w:spacing w:after="0" w:line="240" w:lineRule="auto"/>
    </w:pPr>
    <w:tblPr>
      <w:tblStyleRowBandSize w:val="1"/>
      <w:tblStyleColBandSize w:val="1"/>
      <w:tblBorders>
        <w:top w:val="single" w:sz="4" w:space="0" w:color="8EC5E1" w:themeColor="accent1" w:themeTint="66"/>
        <w:left w:val="single" w:sz="4" w:space="0" w:color="8EC5E1" w:themeColor="accent1" w:themeTint="66"/>
        <w:bottom w:val="single" w:sz="4" w:space="0" w:color="8EC5E1" w:themeColor="accent1" w:themeTint="66"/>
        <w:right w:val="single" w:sz="4" w:space="0" w:color="8EC5E1" w:themeColor="accent1" w:themeTint="66"/>
        <w:insideH w:val="single" w:sz="4" w:space="0" w:color="8EC5E1" w:themeColor="accent1" w:themeTint="66"/>
        <w:insideV w:val="single" w:sz="4" w:space="0" w:color="8EC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5A8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A8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2">
    <w:name w:val="Grid Table 4 Accent 2"/>
    <w:basedOn w:val="Tablanormal"/>
    <w:uiPriority w:val="49"/>
    <w:rsid w:val="00286CFB"/>
    <w:pPr>
      <w:spacing w:after="0" w:line="240" w:lineRule="auto"/>
    </w:pPr>
    <w:tblPr>
      <w:tblStyleRowBandSize w:val="1"/>
      <w:tblStyleColBandSize w:val="1"/>
      <w:tblBorders>
        <w:top w:val="single" w:sz="4" w:space="0" w:color="FA925B" w:themeColor="accent2" w:themeTint="99"/>
        <w:left w:val="single" w:sz="4" w:space="0" w:color="FA925B" w:themeColor="accent2" w:themeTint="99"/>
        <w:bottom w:val="single" w:sz="4" w:space="0" w:color="FA925B" w:themeColor="accent2" w:themeTint="99"/>
        <w:right w:val="single" w:sz="4" w:space="0" w:color="FA925B" w:themeColor="accent2" w:themeTint="99"/>
        <w:insideH w:val="single" w:sz="4" w:space="0" w:color="FA925B" w:themeColor="accent2" w:themeTint="99"/>
        <w:insideV w:val="single" w:sz="4" w:space="0" w:color="FA925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5206" w:themeColor="accent2"/>
          <w:left w:val="single" w:sz="4" w:space="0" w:color="E05206" w:themeColor="accent2"/>
          <w:bottom w:val="single" w:sz="4" w:space="0" w:color="E05206" w:themeColor="accent2"/>
          <w:right w:val="single" w:sz="4" w:space="0" w:color="E05206" w:themeColor="accent2"/>
          <w:insideH w:val="nil"/>
          <w:insideV w:val="nil"/>
        </w:tcBorders>
        <w:shd w:val="clear" w:color="auto" w:fill="E05206" w:themeFill="accent2"/>
      </w:tcPr>
    </w:tblStylePr>
    <w:tblStylePr w:type="lastRow">
      <w:rPr>
        <w:b/>
        <w:bCs/>
      </w:rPr>
      <w:tblPr/>
      <w:tcPr>
        <w:tcBorders>
          <w:top w:val="double" w:sz="4" w:space="0" w:color="E0520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AC8" w:themeFill="accent2" w:themeFillTint="33"/>
      </w:tcPr>
    </w:tblStylePr>
    <w:tblStylePr w:type="band1Horz">
      <w:tblPr/>
      <w:tcPr>
        <w:shd w:val="clear" w:color="auto" w:fill="FDDAC8" w:themeFill="accent2" w:themeFillTint="33"/>
      </w:tcPr>
    </w:tblStylePr>
  </w:style>
  <w:style w:type="paragraph" w:styleId="Sinespaciado">
    <w:name w:val="No Spacing"/>
    <w:link w:val="SinespaciadoCar"/>
    <w:uiPriority w:val="1"/>
    <w:qFormat/>
    <w:rsid w:val="00286CFB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86CFB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604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04BE"/>
    <w:rPr>
      <w:rFonts w:ascii="Myriad Pro" w:hAnsi="Myriad Pro"/>
    </w:rPr>
  </w:style>
  <w:style w:type="paragraph" w:styleId="Piedepgina">
    <w:name w:val="footer"/>
    <w:basedOn w:val="Normal"/>
    <w:link w:val="PiedepginaCar"/>
    <w:uiPriority w:val="99"/>
    <w:unhideWhenUsed/>
    <w:rsid w:val="00C604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4BE"/>
    <w:rPr>
      <w:rFonts w:ascii="Myriad Pro" w:hAnsi="Myriad Pro"/>
    </w:rPr>
  </w:style>
  <w:style w:type="paragraph" w:styleId="Ttulo">
    <w:name w:val="Title"/>
    <w:basedOn w:val="Normal"/>
    <w:next w:val="Normal"/>
    <w:link w:val="TtuloCar"/>
    <w:uiPriority w:val="10"/>
    <w:qFormat/>
    <w:rsid w:val="00C838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3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Vietas">
    <w:name w:val="Viñetas"/>
    <w:basedOn w:val="Prrafodelista"/>
    <w:link w:val="VietasCar"/>
    <w:qFormat/>
    <w:rsid w:val="00711691"/>
    <w:pPr>
      <w:numPr>
        <w:numId w:val="4"/>
      </w:numPr>
    </w:pPr>
    <w:rPr>
      <w:b/>
    </w:rPr>
  </w:style>
  <w:style w:type="character" w:styleId="Hipervnculo">
    <w:name w:val="Hyperlink"/>
    <w:basedOn w:val="Fuentedeprrafopredeter"/>
    <w:uiPriority w:val="99"/>
    <w:unhideWhenUsed/>
    <w:rsid w:val="00E71908"/>
    <w:rPr>
      <w:color w:val="0563C1" w:themeColor="hyperlink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C8384E"/>
  </w:style>
  <w:style w:type="character" w:customStyle="1" w:styleId="VietasCar">
    <w:name w:val="Viñetas Car"/>
    <w:basedOn w:val="PrrafodelistaCar"/>
    <w:link w:val="Vietas"/>
    <w:rsid w:val="00711691"/>
    <w:rPr>
      <w:b/>
    </w:rPr>
  </w:style>
  <w:style w:type="character" w:styleId="Mencinsinresolver">
    <w:name w:val="Unresolved Mention"/>
    <w:basedOn w:val="Fuentedeprrafopredeter"/>
    <w:uiPriority w:val="99"/>
    <w:semiHidden/>
    <w:unhideWhenUsed/>
    <w:rsid w:val="00E71908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709C"/>
    <w:rPr>
      <w:rFonts w:asciiTheme="majorHAnsi" w:eastAsiaTheme="majorEastAsia" w:hAnsiTheme="majorHAnsi" w:cstheme="majorBidi"/>
      <w:i/>
      <w:iCs/>
      <w:color w:val="245E7C" w:themeColor="text2"/>
    </w:rPr>
  </w:style>
  <w:style w:type="paragraph" w:customStyle="1" w:styleId="Estilodeenlaces">
    <w:name w:val="Estilo de enlaces"/>
    <w:basedOn w:val="Normal"/>
    <w:link w:val="EstilodeenlacesCar"/>
    <w:qFormat/>
    <w:rsid w:val="007B6C0C"/>
    <w:rPr>
      <w:color w:val="235D7A"/>
      <w:u w:val="single" w:color="00B0F0"/>
    </w:rPr>
  </w:style>
  <w:style w:type="paragraph" w:customStyle="1" w:styleId="Notapiedepgina">
    <w:name w:val="Nota pie de página"/>
    <w:basedOn w:val="Estilodeenlaces"/>
    <w:link w:val="NotapiedepginaCar"/>
    <w:qFormat/>
    <w:rsid w:val="007B6C0C"/>
    <w:pPr>
      <w:spacing w:before="120" w:after="360" w:line="360" w:lineRule="auto"/>
    </w:pPr>
    <w:rPr>
      <w:i/>
      <w:color w:val="000000" w:themeColor="text1"/>
      <w:sz w:val="20"/>
      <w:szCs w:val="20"/>
      <w:u w:val="none"/>
    </w:rPr>
  </w:style>
  <w:style w:type="character" w:customStyle="1" w:styleId="EstilodeenlacesCar">
    <w:name w:val="Estilo de enlaces Car"/>
    <w:basedOn w:val="Fuentedeprrafopredeter"/>
    <w:link w:val="Estilodeenlaces"/>
    <w:rsid w:val="007B6C0C"/>
    <w:rPr>
      <w:color w:val="235D7A"/>
      <w:u w:val="single" w:color="00B0F0"/>
    </w:rPr>
  </w:style>
  <w:style w:type="paragraph" w:styleId="TtuloTDC">
    <w:name w:val="TOC Heading"/>
    <w:basedOn w:val="Ttulo1"/>
    <w:next w:val="Normal"/>
    <w:uiPriority w:val="39"/>
    <w:unhideWhenUsed/>
    <w:qFormat/>
    <w:rsid w:val="00272482"/>
    <w:pPr>
      <w:spacing w:after="0"/>
      <w:contextualSpacing w:val="0"/>
      <w:outlineLvl w:val="9"/>
    </w:pPr>
    <w:rPr>
      <w:rFonts w:asciiTheme="majorHAnsi" w:hAnsiTheme="majorHAnsi"/>
      <w:b w:val="0"/>
      <w:lang w:eastAsia="es-ES"/>
    </w:rPr>
  </w:style>
  <w:style w:type="character" w:customStyle="1" w:styleId="NotapiedepginaCar">
    <w:name w:val="Nota pie de página Car"/>
    <w:basedOn w:val="EstilodeenlacesCar"/>
    <w:link w:val="Notapiedepgina"/>
    <w:rsid w:val="007B6C0C"/>
    <w:rPr>
      <w:i/>
      <w:color w:val="000000" w:themeColor="text1"/>
      <w:sz w:val="20"/>
      <w:szCs w:val="20"/>
      <w:u w:val="single" w:color="00B0F0"/>
    </w:rPr>
  </w:style>
  <w:style w:type="paragraph" w:styleId="TDC2">
    <w:name w:val="toc 2"/>
    <w:basedOn w:val="Normal"/>
    <w:next w:val="Normal"/>
    <w:autoRedefine/>
    <w:uiPriority w:val="39"/>
    <w:unhideWhenUsed/>
    <w:rsid w:val="00D6756B"/>
    <w:pPr>
      <w:ind w:left="220"/>
    </w:pPr>
    <w:rPr>
      <w:rFonts w:cstheme="minorHAnsi"/>
      <w:smallCap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D6756B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D6756B"/>
    <w:pPr>
      <w:ind w:left="440"/>
    </w:pPr>
    <w:rPr>
      <w:rFonts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FF0ADA"/>
    <w:pPr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FF0ADA"/>
    <w:pPr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FF0ADA"/>
    <w:pPr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FF0ADA"/>
    <w:pPr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FF0ADA"/>
    <w:pPr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FF0ADA"/>
    <w:pPr>
      <w:ind w:left="1760"/>
    </w:pPr>
    <w:rPr>
      <w:rFonts w:cstheme="minorHAnsi"/>
      <w:sz w:val="18"/>
      <w:szCs w:val="18"/>
    </w:rPr>
  </w:style>
  <w:style w:type="paragraph" w:customStyle="1" w:styleId="Encabezadoespecial">
    <w:name w:val="Encabezado especial"/>
    <w:basedOn w:val="Normal"/>
    <w:link w:val="EncabezadoespecialCar"/>
    <w:qFormat/>
    <w:rsid w:val="00B71FA3"/>
    <w:pPr>
      <w:spacing w:before="360" w:after="240"/>
    </w:pPr>
    <w:rPr>
      <w:b/>
      <w:color w:val="225D7D"/>
      <w:sz w:val="26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2759B"/>
    <w:rPr>
      <w:sz w:val="20"/>
      <w:szCs w:val="20"/>
    </w:rPr>
  </w:style>
  <w:style w:type="character" w:customStyle="1" w:styleId="EncabezadoespecialCar">
    <w:name w:val="Encabezado especial Car"/>
    <w:basedOn w:val="Fuentedeprrafopredeter"/>
    <w:link w:val="Encabezadoespecial"/>
    <w:rsid w:val="00B71FA3"/>
    <w:rPr>
      <w:b/>
      <w:color w:val="225D7D"/>
      <w:sz w:val="26"/>
      <w:szCs w:val="2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759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2759B"/>
    <w:rPr>
      <w:vertAlign w:val="superscript"/>
    </w:rPr>
  </w:style>
  <w:style w:type="table" w:styleId="Tablaconcuadrcula5oscura-nfasis1">
    <w:name w:val="Grid Table 5 Dark Accent 1"/>
    <w:basedOn w:val="Tablanormal"/>
    <w:uiPriority w:val="50"/>
    <w:rsid w:val="00E11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5C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5C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05C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05C7B" w:themeFill="accent1"/>
      </w:tcPr>
    </w:tblStylePr>
    <w:tblStylePr w:type="band1Vert">
      <w:tblPr/>
      <w:tcPr>
        <w:shd w:val="clear" w:color="auto" w:fill="8EC5E1" w:themeFill="accent1" w:themeFillTint="66"/>
      </w:tcPr>
    </w:tblStylePr>
    <w:tblStylePr w:type="band1Horz">
      <w:tblPr/>
      <w:tcPr>
        <w:shd w:val="clear" w:color="auto" w:fill="8EC5E1" w:themeFill="accent1" w:themeFillTint="66"/>
      </w:tcPr>
    </w:tblStylePr>
  </w:style>
  <w:style w:type="table" w:styleId="Tablaconcuadrcula4-nfasis1">
    <w:name w:val="Grid Table 4 Accent 1"/>
    <w:aliases w:val="TablaRed"/>
    <w:basedOn w:val="Tablanormal"/>
    <w:uiPriority w:val="49"/>
    <w:rsid w:val="007404DF"/>
    <w:pPr>
      <w:spacing w:after="0" w:line="240" w:lineRule="auto"/>
    </w:pPr>
    <w:tblPr>
      <w:tblStyleRowBandSize w:val="1"/>
      <w:tblStyleColBandSize w:val="1"/>
      <w:tblBorders>
        <w:top w:val="single" w:sz="4" w:space="0" w:color="55A8D3" w:themeColor="accent1" w:themeTint="99"/>
        <w:left w:val="single" w:sz="4" w:space="0" w:color="55A8D3" w:themeColor="accent1" w:themeTint="99"/>
        <w:bottom w:val="single" w:sz="4" w:space="0" w:color="55A8D3" w:themeColor="accent1" w:themeTint="99"/>
        <w:right w:val="single" w:sz="4" w:space="0" w:color="55A8D3" w:themeColor="accent1" w:themeTint="99"/>
        <w:insideH w:val="single" w:sz="4" w:space="0" w:color="55A8D3" w:themeColor="accent1" w:themeTint="99"/>
        <w:insideV w:val="single" w:sz="4" w:space="0" w:color="55A8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5C7B" w:themeColor="accent1"/>
          <w:left w:val="single" w:sz="4" w:space="0" w:color="205C7B" w:themeColor="accent1"/>
          <w:bottom w:val="single" w:sz="4" w:space="0" w:color="205C7B" w:themeColor="accent1"/>
          <w:right w:val="single" w:sz="4" w:space="0" w:color="205C7B" w:themeColor="accent1"/>
          <w:insideH w:val="nil"/>
          <w:insideV w:val="nil"/>
        </w:tcBorders>
        <w:shd w:val="clear" w:color="auto" w:fill="205C7B" w:themeFill="accent1"/>
      </w:tcPr>
    </w:tblStylePr>
    <w:tblStylePr w:type="lastRow">
      <w:rPr>
        <w:b/>
        <w:bCs/>
      </w:rPr>
      <w:tblPr/>
      <w:tcPr>
        <w:tcBorders>
          <w:top w:val="double" w:sz="4" w:space="0" w:color="205C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2F0" w:themeFill="accent1" w:themeFillTint="33"/>
      </w:tcPr>
    </w:tblStylePr>
    <w:tblStylePr w:type="band1Horz">
      <w:tblPr/>
      <w:tcPr>
        <w:shd w:val="clear" w:color="auto" w:fill="C6E2F0" w:themeFill="accent1" w:themeFillTint="33"/>
      </w:tcPr>
    </w:tblStylePr>
  </w:style>
  <w:style w:type="table" w:customStyle="1" w:styleId="EstiloRed1">
    <w:name w:val="EstiloRed1"/>
    <w:basedOn w:val="Tablanormal"/>
    <w:uiPriority w:val="99"/>
    <w:rsid w:val="00F56D34"/>
    <w:pPr>
      <w:spacing w:after="0" w:line="240" w:lineRule="auto"/>
    </w:pPr>
    <w:tblPr/>
  </w:style>
  <w:style w:type="table" w:styleId="Tablaconcuadrcula3-nfasis2">
    <w:name w:val="Grid Table 3 Accent 2"/>
    <w:basedOn w:val="Tablanormal"/>
    <w:uiPriority w:val="48"/>
    <w:rsid w:val="000D71F0"/>
    <w:pPr>
      <w:spacing w:after="0" w:line="240" w:lineRule="auto"/>
    </w:pPr>
    <w:tblPr>
      <w:tblStyleRowBandSize w:val="1"/>
      <w:tblStyleColBandSize w:val="1"/>
      <w:tblBorders>
        <w:top w:val="single" w:sz="4" w:space="0" w:color="FA925B" w:themeColor="accent2" w:themeTint="99"/>
        <w:left w:val="single" w:sz="4" w:space="0" w:color="FA925B" w:themeColor="accent2" w:themeTint="99"/>
        <w:bottom w:val="single" w:sz="4" w:space="0" w:color="FA925B" w:themeColor="accent2" w:themeTint="99"/>
        <w:right w:val="single" w:sz="4" w:space="0" w:color="FA925B" w:themeColor="accent2" w:themeTint="99"/>
        <w:insideH w:val="single" w:sz="4" w:space="0" w:color="FA925B" w:themeColor="accent2" w:themeTint="99"/>
        <w:insideV w:val="single" w:sz="4" w:space="0" w:color="FA925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AC8" w:themeFill="accent2" w:themeFillTint="33"/>
      </w:tcPr>
    </w:tblStylePr>
    <w:tblStylePr w:type="band1Horz">
      <w:tblPr/>
      <w:tcPr>
        <w:shd w:val="clear" w:color="auto" w:fill="FDDAC8" w:themeFill="accent2" w:themeFillTint="33"/>
      </w:tcPr>
    </w:tblStylePr>
    <w:tblStylePr w:type="neCell">
      <w:tblPr/>
      <w:tcPr>
        <w:tcBorders>
          <w:bottom w:val="single" w:sz="4" w:space="0" w:color="FA925B" w:themeColor="accent2" w:themeTint="99"/>
        </w:tcBorders>
      </w:tcPr>
    </w:tblStylePr>
    <w:tblStylePr w:type="nwCell">
      <w:tblPr/>
      <w:tcPr>
        <w:tcBorders>
          <w:bottom w:val="single" w:sz="4" w:space="0" w:color="FA925B" w:themeColor="accent2" w:themeTint="99"/>
        </w:tcBorders>
      </w:tcPr>
    </w:tblStylePr>
    <w:tblStylePr w:type="seCell">
      <w:tblPr/>
      <w:tcPr>
        <w:tcBorders>
          <w:top w:val="single" w:sz="4" w:space="0" w:color="FA925B" w:themeColor="accent2" w:themeTint="99"/>
        </w:tcBorders>
      </w:tcPr>
    </w:tblStylePr>
    <w:tblStylePr w:type="swCell">
      <w:tblPr/>
      <w:tcPr>
        <w:tcBorders>
          <w:top w:val="single" w:sz="4" w:space="0" w:color="FA925B" w:themeColor="accent2" w:themeTint="99"/>
        </w:tcBorders>
      </w:tcPr>
    </w:tblStylePr>
  </w:style>
  <w:style w:type="table" w:customStyle="1" w:styleId="EstiloRed2">
    <w:name w:val="EstiloRed2"/>
    <w:basedOn w:val="Tablanormal"/>
    <w:uiPriority w:val="99"/>
    <w:rsid w:val="000D71F0"/>
    <w:pPr>
      <w:spacing w:after="0" w:line="240" w:lineRule="auto"/>
    </w:pPr>
    <w:tblPr/>
  </w:style>
  <w:style w:type="table" w:customStyle="1" w:styleId="EstiloRed">
    <w:name w:val="EstiloRed"/>
    <w:basedOn w:val="Tablanormal"/>
    <w:uiPriority w:val="99"/>
    <w:rsid w:val="000D71F0"/>
    <w:pPr>
      <w:spacing w:after="0" w:line="240" w:lineRule="auto"/>
    </w:pPr>
    <w:tblPr/>
  </w:style>
  <w:style w:type="table" w:customStyle="1" w:styleId="Estilo1">
    <w:name w:val="Estilo1"/>
    <w:basedOn w:val="Tablanormal"/>
    <w:uiPriority w:val="99"/>
    <w:rsid w:val="000D71F0"/>
    <w:pPr>
      <w:spacing w:after="0" w:line="240" w:lineRule="auto"/>
    </w:pPr>
    <w:rPr>
      <w:sz w:val="24"/>
    </w:rPr>
    <w:tblPr/>
  </w:style>
  <w:style w:type="table" w:styleId="Tablaconcuadrcula1clara-nfasis4">
    <w:name w:val="Grid Table 1 Light Accent 4"/>
    <w:basedOn w:val="Tablanormal"/>
    <w:uiPriority w:val="46"/>
    <w:rsid w:val="00484C60"/>
    <w:pPr>
      <w:spacing w:after="0" w:line="240" w:lineRule="auto"/>
    </w:pPr>
    <w:tblPr>
      <w:tblStyleRowBandSize w:val="1"/>
      <w:tblStyleColBandSize w:val="1"/>
      <w:tblBorders>
        <w:top w:val="single" w:sz="4" w:space="0" w:color="C6DAA4" w:themeColor="accent4" w:themeTint="66"/>
        <w:left w:val="single" w:sz="4" w:space="0" w:color="C6DAA4" w:themeColor="accent4" w:themeTint="66"/>
        <w:bottom w:val="single" w:sz="4" w:space="0" w:color="C6DAA4" w:themeColor="accent4" w:themeTint="66"/>
        <w:right w:val="single" w:sz="4" w:space="0" w:color="C6DAA4" w:themeColor="accent4" w:themeTint="66"/>
        <w:insideH w:val="single" w:sz="4" w:space="0" w:color="C6DAA4" w:themeColor="accent4" w:themeTint="66"/>
        <w:insideV w:val="single" w:sz="4" w:space="0" w:color="C6DAA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AC8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C8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7concolores-nfasis4">
    <w:name w:val="Grid Table 7 Colorful Accent 4"/>
    <w:basedOn w:val="Tablanormal"/>
    <w:uiPriority w:val="52"/>
    <w:rsid w:val="00484C60"/>
    <w:pPr>
      <w:spacing w:after="0" w:line="240" w:lineRule="auto"/>
    </w:pPr>
    <w:rPr>
      <w:color w:val="506729" w:themeColor="accent4" w:themeShade="BF"/>
    </w:rPr>
    <w:tblPr>
      <w:tblStyleRowBandSize w:val="1"/>
      <w:tblStyleColBandSize w:val="1"/>
      <w:tblBorders>
        <w:top w:val="single" w:sz="4" w:space="0" w:color="AAC876" w:themeColor="accent4" w:themeTint="99"/>
        <w:left w:val="single" w:sz="4" w:space="0" w:color="AAC876" w:themeColor="accent4" w:themeTint="99"/>
        <w:bottom w:val="single" w:sz="4" w:space="0" w:color="AAC876" w:themeColor="accent4" w:themeTint="99"/>
        <w:right w:val="single" w:sz="4" w:space="0" w:color="AAC876" w:themeColor="accent4" w:themeTint="99"/>
        <w:insideH w:val="single" w:sz="4" w:space="0" w:color="AAC876" w:themeColor="accent4" w:themeTint="99"/>
        <w:insideV w:val="single" w:sz="4" w:space="0" w:color="AAC8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DD1" w:themeFill="accent4" w:themeFillTint="33"/>
      </w:tcPr>
    </w:tblStylePr>
    <w:tblStylePr w:type="band1Horz">
      <w:tblPr/>
      <w:tcPr>
        <w:shd w:val="clear" w:color="auto" w:fill="E2EDD1" w:themeFill="accent4" w:themeFillTint="33"/>
      </w:tcPr>
    </w:tblStylePr>
    <w:tblStylePr w:type="neCell">
      <w:tblPr/>
      <w:tcPr>
        <w:tcBorders>
          <w:bottom w:val="single" w:sz="4" w:space="0" w:color="AAC876" w:themeColor="accent4" w:themeTint="99"/>
        </w:tcBorders>
      </w:tcPr>
    </w:tblStylePr>
    <w:tblStylePr w:type="nwCell">
      <w:tblPr/>
      <w:tcPr>
        <w:tcBorders>
          <w:bottom w:val="single" w:sz="4" w:space="0" w:color="AAC876" w:themeColor="accent4" w:themeTint="99"/>
        </w:tcBorders>
      </w:tcPr>
    </w:tblStylePr>
    <w:tblStylePr w:type="seCell">
      <w:tblPr/>
      <w:tcPr>
        <w:tcBorders>
          <w:top w:val="single" w:sz="4" w:space="0" w:color="AAC876" w:themeColor="accent4" w:themeTint="99"/>
        </w:tcBorders>
      </w:tcPr>
    </w:tblStylePr>
    <w:tblStylePr w:type="swCell">
      <w:tblPr/>
      <w:tcPr>
        <w:tcBorders>
          <w:top w:val="single" w:sz="4" w:space="0" w:color="AAC876" w:themeColor="accent4" w:themeTint="99"/>
        </w:tcBorders>
      </w:tcPr>
    </w:tblStylePr>
  </w:style>
  <w:style w:type="table" w:styleId="Tabladelista3-nfasis1">
    <w:name w:val="List Table 3 Accent 1"/>
    <w:basedOn w:val="Tablanormal"/>
    <w:uiPriority w:val="48"/>
    <w:rsid w:val="00484C60"/>
    <w:pPr>
      <w:spacing w:after="0" w:line="240" w:lineRule="auto"/>
    </w:pPr>
    <w:tblPr>
      <w:tblStyleRowBandSize w:val="1"/>
      <w:tblStyleColBandSize w:val="1"/>
      <w:tblBorders>
        <w:top w:val="single" w:sz="4" w:space="0" w:color="205C7B" w:themeColor="accent1"/>
        <w:left w:val="single" w:sz="4" w:space="0" w:color="205C7B" w:themeColor="accent1"/>
        <w:bottom w:val="single" w:sz="4" w:space="0" w:color="205C7B" w:themeColor="accent1"/>
        <w:right w:val="single" w:sz="4" w:space="0" w:color="205C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05C7B" w:themeFill="accent1"/>
      </w:tcPr>
    </w:tblStylePr>
    <w:tblStylePr w:type="lastRow">
      <w:rPr>
        <w:b/>
        <w:bCs/>
      </w:rPr>
      <w:tblPr/>
      <w:tcPr>
        <w:tcBorders>
          <w:top w:val="double" w:sz="4" w:space="0" w:color="205C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05C7B" w:themeColor="accent1"/>
          <w:right w:val="single" w:sz="4" w:space="0" w:color="205C7B" w:themeColor="accent1"/>
        </w:tcBorders>
      </w:tcPr>
    </w:tblStylePr>
    <w:tblStylePr w:type="band1Horz">
      <w:tblPr/>
      <w:tcPr>
        <w:tcBorders>
          <w:top w:val="single" w:sz="4" w:space="0" w:color="205C7B" w:themeColor="accent1"/>
          <w:bottom w:val="single" w:sz="4" w:space="0" w:color="205C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05C7B" w:themeColor="accent1"/>
          <w:left w:val="nil"/>
        </w:tcBorders>
      </w:tcPr>
    </w:tblStylePr>
    <w:tblStylePr w:type="swCell">
      <w:tblPr/>
      <w:tcPr>
        <w:tcBorders>
          <w:top w:val="double" w:sz="4" w:space="0" w:color="205C7B" w:themeColor="accent1"/>
          <w:right w:val="nil"/>
        </w:tcBorders>
      </w:tcPr>
    </w:tblStylePr>
  </w:style>
  <w:style w:type="table" w:styleId="Tabladelista4-nfasis4">
    <w:name w:val="List Table 4 Accent 4"/>
    <w:basedOn w:val="Tablanormal"/>
    <w:uiPriority w:val="49"/>
    <w:rsid w:val="00484C60"/>
    <w:pPr>
      <w:spacing w:after="0" w:line="240" w:lineRule="auto"/>
    </w:pPr>
    <w:tblPr>
      <w:tblStyleRowBandSize w:val="1"/>
      <w:tblStyleColBandSize w:val="1"/>
      <w:tblBorders>
        <w:top w:val="single" w:sz="4" w:space="0" w:color="AAC876" w:themeColor="accent4" w:themeTint="99"/>
        <w:left w:val="single" w:sz="4" w:space="0" w:color="AAC876" w:themeColor="accent4" w:themeTint="99"/>
        <w:bottom w:val="single" w:sz="4" w:space="0" w:color="AAC876" w:themeColor="accent4" w:themeTint="99"/>
        <w:right w:val="single" w:sz="4" w:space="0" w:color="AAC876" w:themeColor="accent4" w:themeTint="99"/>
        <w:insideH w:val="single" w:sz="4" w:space="0" w:color="AAC8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8A37" w:themeColor="accent4"/>
          <w:left w:val="single" w:sz="4" w:space="0" w:color="6C8A37" w:themeColor="accent4"/>
          <w:bottom w:val="single" w:sz="4" w:space="0" w:color="6C8A37" w:themeColor="accent4"/>
          <w:right w:val="single" w:sz="4" w:space="0" w:color="6C8A37" w:themeColor="accent4"/>
          <w:insideH w:val="nil"/>
        </w:tcBorders>
        <w:shd w:val="clear" w:color="auto" w:fill="6C8A37" w:themeFill="accent4"/>
      </w:tcPr>
    </w:tblStylePr>
    <w:tblStylePr w:type="lastRow">
      <w:rPr>
        <w:b/>
        <w:bCs/>
      </w:rPr>
      <w:tblPr/>
      <w:tcPr>
        <w:tcBorders>
          <w:top w:val="double" w:sz="4" w:space="0" w:color="AAC8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DD1" w:themeFill="accent4" w:themeFillTint="33"/>
      </w:tcPr>
    </w:tblStylePr>
    <w:tblStylePr w:type="band1Horz">
      <w:tblPr/>
      <w:tcPr>
        <w:shd w:val="clear" w:color="auto" w:fill="E2EDD1" w:themeFill="accent4" w:themeFillTint="33"/>
      </w:tcPr>
    </w:tblStylePr>
  </w:style>
  <w:style w:type="table" w:styleId="Tabladelista4-nfasis1">
    <w:name w:val="List Table 4 Accent 1"/>
    <w:basedOn w:val="Tablanormal"/>
    <w:uiPriority w:val="49"/>
    <w:rsid w:val="00B32132"/>
    <w:pPr>
      <w:spacing w:after="0" w:line="240" w:lineRule="auto"/>
    </w:pPr>
    <w:tblPr>
      <w:tblStyleRowBandSize w:val="1"/>
      <w:tblStyleColBandSize w:val="1"/>
      <w:tblBorders>
        <w:top w:val="single" w:sz="4" w:space="0" w:color="55A8D3" w:themeColor="accent1" w:themeTint="99"/>
        <w:left w:val="single" w:sz="4" w:space="0" w:color="55A8D3" w:themeColor="accent1" w:themeTint="99"/>
        <w:bottom w:val="single" w:sz="4" w:space="0" w:color="55A8D3" w:themeColor="accent1" w:themeTint="99"/>
        <w:right w:val="single" w:sz="4" w:space="0" w:color="55A8D3" w:themeColor="accent1" w:themeTint="99"/>
        <w:insideH w:val="single" w:sz="4" w:space="0" w:color="55A8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5C7B" w:themeColor="accent1"/>
          <w:left w:val="single" w:sz="4" w:space="0" w:color="205C7B" w:themeColor="accent1"/>
          <w:bottom w:val="single" w:sz="4" w:space="0" w:color="205C7B" w:themeColor="accent1"/>
          <w:right w:val="single" w:sz="4" w:space="0" w:color="205C7B" w:themeColor="accent1"/>
          <w:insideH w:val="nil"/>
        </w:tcBorders>
        <w:shd w:val="clear" w:color="auto" w:fill="205C7B" w:themeFill="accent1"/>
      </w:tcPr>
    </w:tblStylePr>
    <w:tblStylePr w:type="lastRow">
      <w:rPr>
        <w:b/>
        <w:bCs/>
      </w:rPr>
      <w:tblPr/>
      <w:tcPr>
        <w:tcBorders>
          <w:top w:val="double" w:sz="4" w:space="0" w:color="55A8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2F0" w:themeFill="accent1" w:themeFillTint="33"/>
      </w:tcPr>
    </w:tblStylePr>
    <w:tblStylePr w:type="band1Horz">
      <w:tblPr/>
      <w:tcPr>
        <w:shd w:val="clear" w:color="auto" w:fill="C6E2F0" w:themeFill="accent1" w:themeFillTint="33"/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782A29"/>
    <w:rPr>
      <w:rFonts w:asciiTheme="majorHAnsi" w:eastAsiaTheme="majorEastAsia" w:hAnsiTheme="majorHAnsi" w:cstheme="majorBidi"/>
      <w:color w:val="18445C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2A29"/>
    <w:rPr>
      <w:rFonts w:asciiTheme="majorHAnsi" w:eastAsiaTheme="majorEastAsia" w:hAnsiTheme="majorHAnsi" w:cstheme="majorBidi"/>
      <w:color w:val="102D3D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2A29"/>
    <w:rPr>
      <w:rFonts w:asciiTheme="majorHAnsi" w:eastAsiaTheme="majorEastAsia" w:hAnsiTheme="majorHAnsi" w:cstheme="majorBidi"/>
      <w:i/>
      <w:iCs/>
      <w:color w:val="102D3D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2A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2A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aconcuadrcula3-nfasis3">
    <w:name w:val="Grid Table 3 Accent 3"/>
    <w:basedOn w:val="Tablanormal"/>
    <w:uiPriority w:val="48"/>
    <w:rsid w:val="00711691"/>
    <w:pPr>
      <w:spacing w:after="0" w:line="240" w:lineRule="auto"/>
    </w:pPr>
    <w:tblPr>
      <w:tblStyleRowBandSize w:val="1"/>
      <w:tblStyleColBandSize w:val="1"/>
      <w:tblBorders>
        <w:top w:val="single" w:sz="4" w:space="0" w:color="EBCC86" w:themeColor="accent3" w:themeTint="99"/>
        <w:left w:val="single" w:sz="4" w:space="0" w:color="EBCC86" w:themeColor="accent3" w:themeTint="99"/>
        <w:bottom w:val="single" w:sz="4" w:space="0" w:color="EBCC86" w:themeColor="accent3" w:themeTint="99"/>
        <w:right w:val="single" w:sz="4" w:space="0" w:color="EBCC86" w:themeColor="accent3" w:themeTint="99"/>
        <w:insideH w:val="single" w:sz="4" w:space="0" w:color="EBCC86" w:themeColor="accent3" w:themeTint="99"/>
        <w:insideV w:val="single" w:sz="4" w:space="0" w:color="EBCC8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ED6" w:themeFill="accent3" w:themeFillTint="33"/>
      </w:tcPr>
    </w:tblStylePr>
    <w:tblStylePr w:type="band1Horz">
      <w:tblPr/>
      <w:tcPr>
        <w:shd w:val="clear" w:color="auto" w:fill="F8EED6" w:themeFill="accent3" w:themeFillTint="33"/>
      </w:tcPr>
    </w:tblStylePr>
    <w:tblStylePr w:type="neCell">
      <w:tblPr/>
      <w:tcPr>
        <w:tcBorders>
          <w:bottom w:val="single" w:sz="4" w:space="0" w:color="EBCC86" w:themeColor="accent3" w:themeTint="99"/>
        </w:tcBorders>
      </w:tcPr>
    </w:tblStylePr>
    <w:tblStylePr w:type="nwCell">
      <w:tblPr/>
      <w:tcPr>
        <w:tcBorders>
          <w:bottom w:val="single" w:sz="4" w:space="0" w:color="EBCC86" w:themeColor="accent3" w:themeTint="99"/>
        </w:tcBorders>
      </w:tcPr>
    </w:tblStylePr>
    <w:tblStylePr w:type="seCell">
      <w:tblPr/>
      <w:tcPr>
        <w:tcBorders>
          <w:top w:val="single" w:sz="4" w:space="0" w:color="EBCC86" w:themeColor="accent3" w:themeTint="99"/>
        </w:tcBorders>
      </w:tcPr>
    </w:tblStylePr>
    <w:tblStylePr w:type="swCell">
      <w:tblPr/>
      <w:tcPr>
        <w:tcBorders>
          <w:top w:val="single" w:sz="4" w:space="0" w:color="EBCC86" w:themeColor="accent3" w:themeTint="99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0A3F0F"/>
    <w:rPr>
      <w:color w:val="7F7F7F" w:themeColor="followedHyperlink"/>
      <w:u w:val="single"/>
    </w:rPr>
  </w:style>
  <w:style w:type="table" w:styleId="Tablaconcuadrcula4-nfasis6">
    <w:name w:val="Grid Table 4 Accent 6"/>
    <w:basedOn w:val="Tablanormal"/>
    <w:uiPriority w:val="49"/>
    <w:rsid w:val="008364EE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836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55A8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A8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2F0" w:themeFill="accent1" w:themeFillTint="33"/>
      </w:tcPr>
    </w:tblStylePr>
    <w:tblStylePr w:type="band1Horz">
      <w:tblPr/>
      <w:tcPr>
        <w:shd w:val="clear" w:color="auto" w:fill="C6E2F0" w:themeFill="accent1" w:themeFillTint="33"/>
      </w:tcPr>
    </w:tblStylePr>
  </w:style>
  <w:style w:type="table" w:styleId="Tablaconcuadrcula3-nfasis1">
    <w:name w:val="Grid Table 3 Accent 1"/>
    <w:basedOn w:val="Tablanormal"/>
    <w:uiPriority w:val="48"/>
    <w:rsid w:val="00172995"/>
    <w:pPr>
      <w:spacing w:after="0" w:line="240" w:lineRule="auto"/>
    </w:pPr>
    <w:tblPr>
      <w:tblStyleRowBandSize w:val="1"/>
      <w:tblStyleColBandSize w:val="1"/>
      <w:tblBorders>
        <w:top w:val="single" w:sz="4" w:space="0" w:color="55A8D3" w:themeColor="accent1" w:themeTint="99"/>
        <w:left w:val="single" w:sz="4" w:space="0" w:color="55A8D3" w:themeColor="accent1" w:themeTint="99"/>
        <w:bottom w:val="single" w:sz="4" w:space="0" w:color="55A8D3" w:themeColor="accent1" w:themeTint="99"/>
        <w:right w:val="single" w:sz="4" w:space="0" w:color="55A8D3" w:themeColor="accent1" w:themeTint="99"/>
        <w:insideH w:val="single" w:sz="4" w:space="0" w:color="55A8D3" w:themeColor="accent1" w:themeTint="99"/>
        <w:insideV w:val="single" w:sz="4" w:space="0" w:color="55A8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2F0" w:themeFill="accent1" w:themeFillTint="33"/>
      </w:tcPr>
    </w:tblStylePr>
    <w:tblStylePr w:type="band1Horz">
      <w:tblPr/>
      <w:tcPr>
        <w:shd w:val="clear" w:color="auto" w:fill="C6E2F0" w:themeFill="accent1" w:themeFillTint="33"/>
      </w:tcPr>
    </w:tblStylePr>
    <w:tblStylePr w:type="neCell">
      <w:tblPr/>
      <w:tcPr>
        <w:tcBorders>
          <w:bottom w:val="single" w:sz="4" w:space="0" w:color="55A8D3" w:themeColor="accent1" w:themeTint="99"/>
        </w:tcBorders>
      </w:tcPr>
    </w:tblStylePr>
    <w:tblStylePr w:type="nwCell">
      <w:tblPr/>
      <w:tcPr>
        <w:tcBorders>
          <w:bottom w:val="single" w:sz="4" w:space="0" w:color="55A8D3" w:themeColor="accent1" w:themeTint="99"/>
        </w:tcBorders>
      </w:tcPr>
    </w:tblStylePr>
    <w:tblStylePr w:type="seCell">
      <w:tblPr/>
      <w:tcPr>
        <w:tcBorders>
          <w:top w:val="single" w:sz="4" w:space="0" w:color="55A8D3" w:themeColor="accent1" w:themeTint="99"/>
        </w:tcBorders>
      </w:tcPr>
    </w:tblStylePr>
    <w:tblStylePr w:type="swCell">
      <w:tblPr/>
      <w:tcPr>
        <w:tcBorders>
          <w:top w:val="single" w:sz="4" w:space="0" w:color="55A8D3" w:themeColor="accent1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649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49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49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9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9C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52E78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semiHidden/>
    <w:unhideWhenUsed/>
    <w:rsid w:val="00670028"/>
  </w:style>
  <w:style w:type="paragraph" w:customStyle="1" w:styleId="paragraph">
    <w:name w:val="paragraph"/>
    <w:basedOn w:val="Normal"/>
    <w:rsid w:val="003E666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3E6662"/>
  </w:style>
  <w:style w:type="character" w:customStyle="1" w:styleId="eop">
    <w:name w:val="eop"/>
    <w:basedOn w:val="Fuentedeprrafopredeter"/>
    <w:rsid w:val="003E6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6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1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86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41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2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59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4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eb.gencat.cat/ca/generalitat/dades-indicadors/dades-obertes" TargetMode="External"/><Relationship Id="rId21" Type="http://schemas.openxmlformats.org/officeDocument/2006/relationships/hyperlink" Target="https://www.boe.es/buscar/pdf/2018/BOE-A-2018-5393-consolidado.pdf" TargetMode="External"/><Relationship Id="rId42" Type="http://schemas.openxmlformats.org/officeDocument/2006/relationships/hyperlink" Target="https://www.comunidad.madrid/gobierno/datos-abiertos" TargetMode="External"/><Relationship Id="rId47" Type="http://schemas.openxmlformats.org/officeDocument/2006/relationships/hyperlink" Target="https://transparencia.carm.es/plan-regional-de-gobierno-abierto" TargetMode="External"/><Relationship Id="rId63" Type="http://schemas.openxmlformats.org/officeDocument/2006/relationships/hyperlink" Target="https://www.melilla.es/melillaPortal/contenedor.jsp?seccion=s_fdoc_d4_v1.jsp&amp;contenido=22817&amp;nivel=1400&amp;tipo=5&amp;codResi=1&amp;language=es&amp;codMenu=26&amp;codMenuPN=602&amp;codMenuSN=605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gobiernodecanarias.org/boc/2015/005/001.html" TargetMode="External"/><Relationship Id="rId29" Type="http://schemas.openxmlformats.org/officeDocument/2006/relationships/hyperlink" Target="https://www.boe.es/eli/es-ex/l/2013/05/21/4/con" TargetMode="External"/><Relationship Id="rId11" Type="http://schemas.openxmlformats.org/officeDocument/2006/relationships/hyperlink" Target="https://datos.gob.es/es/catalogo?publisher_display_name=Principado+de+Asturias&amp;administration_level=A" TargetMode="External"/><Relationship Id="rId24" Type="http://schemas.openxmlformats.org/officeDocument/2006/relationships/hyperlink" Target="http://docm.castillalamancha.es/portaldocm/descargarArchivo.do?ruta=2016/12/30/pdf/2016_14090.pdf&amp;tipo=rutaDocm" TargetMode="External"/><Relationship Id="rId32" Type="http://schemas.openxmlformats.org/officeDocument/2006/relationships/hyperlink" Target="https://www.xunta.gal/dog/Publicados/2011/20111028/AnuncioC3C1-211011-7835_es.html" TargetMode="External"/><Relationship Id="rId37" Type="http://schemas.openxmlformats.org/officeDocument/2006/relationships/hyperlink" Target="https://www.caib.es/sites/opendatacaib/es/normativa-27504/archivopub.do?ctrl=MCRST1525ZI383470&amp;id=383470" TargetMode="External"/><Relationship Id="rId40" Type="http://schemas.openxmlformats.org/officeDocument/2006/relationships/hyperlink" Target="https://web.larioja.org/dato-abierto" TargetMode="External"/><Relationship Id="rId45" Type="http://schemas.openxmlformats.org/officeDocument/2006/relationships/hyperlink" Target="https://datosabiertos.regiondemurcia.es/" TargetMode="External"/><Relationship Id="rId53" Type="http://schemas.openxmlformats.org/officeDocument/2006/relationships/hyperlink" Target="https://portaldadesobertes.gva.es/es/inici" TargetMode="External"/><Relationship Id="rId58" Type="http://schemas.openxmlformats.org/officeDocument/2006/relationships/hyperlink" Target="https://www.legegunea.euskadi.eus/eli/es-pv/d/2023/06/20/91/dof/spa/html/webleg00-contfich/es/" TargetMode="External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yperlink" Target="https://www.ceuta.es/ceuta/transparencia" TargetMode="External"/><Relationship Id="rId19" Type="http://schemas.openxmlformats.org/officeDocument/2006/relationships/hyperlink" Target="https://www.gobiernodecanarias.org/agendacanaria2030/estrategia/" TargetMode="External"/><Relationship Id="rId14" Type="http://schemas.openxmlformats.org/officeDocument/2006/relationships/hyperlink" Target="https://www.boe.es/eli/es-ar/l/2015/03/25/8/con" TargetMode="External"/><Relationship Id="rId22" Type="http://schemas.openxmlformats.org/officeDocument/2006/relationships/hyperlink" Target="https://datosabiertos.castillalamancha.es/" TargetMode="External"/><Relationship Id="rId27" Type="http://schemas.openxmlformats.org/officeDocument/2006/relationships/hyperlink" Target="https://participa.gencat.cat/processes/OGP2?locale=es" TargetMode="External"/><Relationship Id="rId30" Type="http://schemas.openxmlformats.org/officeDocument/2006/relationships/hyperlink" Target="https://www.juntaex.es/documents/77055/30252655/Dossier_Estrategia+de+Transformacion+Digital+de+Extremadura.pdf" TargetMode="External"/><Relationship Id="rId35" Type="http://schemas.openxmlformats.org/officeDocument/2006/relationships/hyperlink" Target="https://www.boe.es/buscar/pdf/2019/BOE-A-2019-2862-consolidado.pdf" TargetMode="External"/><Relationship Id="rId43" Type="http://schemas.openxmlformats.org/officeDocument/2006/relationships/hyperlink" Target="https://www.boe.es/eli/es-md/l/2019/04/10/10/con" TargetMode="External"/><Relationship Id="rId48" Type="http://schemas.openxmlformats.org/officeDocument/2006/relationships/hyperlink" Target="https://agendadigital.carm.es/wp-content/uploads/2023/03/Agenda-Digital-RDM-Maquetacion-A5-ES.pdf" TargetMode="External"/><Relationship Id="rId56" Type="http://schemas.openxmlformats.org/officeDocument/2006/relationships/hyperlink" Target="https://cindi.gva.es/es/web/brecha-digital/pla-de-transformacio-digital" TargetMode="External"/><Relationship Id="rId64" Type="http://schemas.openxmlformats.org/officeDocument/2006/relationships/hyperlink" Target="https://datos.gob.es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juntadeandalucia.es/datosabiertos/portal.html" TargetMode="External"/><Relationship Id="rId51" Type="http://schemas.openxmlformats.org/officeDocument/2006/relationships/hyperlink" Target="https://gobiernoabierto.navarra.es/es/gobernanza/planes-y-programas-accion-gobierno/ii-plan-gobierno-abierto-2025-202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iprincipado.asturias.es/bopa/2018/09/24/2018-09529.pdf" TargetMode="External"/><Relationship Id="rId17" Type="http://schemas.openxmlformats.org/officeDocument/2006/relationships/hyperlink" Target="http://www.gobiernodecanarias.org/boc/2011/032/002.html" TargetMode="External"/><Relationship Id="rId25" Type="http://schemas.openxmlformats.org/officeDocument/2006/relationships/hyperlink" Target="https://datosabiertos.jcyl.es/web/es/datos-abiertos-castilla-leon.html" TargetMode="External"/><Relationship Id="rId33" Type="http://schemas.openxmlformats.org/officeDocument/2006/relationships/hyperlink" Target="https://www.caib.es/sites/opendatacaib/es/inicio_home/?campa=yes" TargetMode="External"/><Relationship Id="rId38" Type="http://schemas.openxmlformats.org/officeDocument/2006/relationships/hyperlink" Target="https://www.caib.es/sites/opendatacaib/es/normativa-27504/archivopub.do?ctrl=MCRST1525ZI421020&amp;id=421020" TargetMode="External"/><Relationship Id="rId46" Type="http://schemas.openxmlformats.org/officeDocument/2006/relationships/hyperlink" Target="https://transparencia.carm.es/wres/transparencia/doc/Consejo_Gobierno/2016-06-01/punto_05_estrategia_regional_datos_abiertos.pdf" TargetMode="External"/><Relationship Id="rId59" Type="http://schemas.openxmlformats.org/officeDocument/2006/relationships/hyperlink" Target="https://www.ogp.euskadi.eus/noticia/2025/ogp-euskadi-presenta-su-3-plan-de-accion/webogp00-content/es/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datos.icane.es/" TargetMode="External"/><Relationship Id="rId41" Type="http://schemas.openxmlformats.org/officeDocument/2006/relationships/hyperlink" Target="https://web.larioja.org/normativa?n=1828" TargetMode="External"/><Relationship Id="rId54" Type="http://schemas.openxmlformats.org/officeDocument/2006/relationships/hyperlink" Target="https://www.boe.es/eli/es-vc/l/2022/04/13/1/con" TargetMode="External"/><Relationship Id="rId62" Type="http://schemas.openxmlformats.org/officeDocument/2006/relationships/hyperlink" Target="https://melilla-datosabiertos.tao.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atos.canarias.es/portal/" TargetMode="External"/><Relationship Id="rId23" Type="http://schemas.openxmlformats.org/officeDocument/2006/relationships/hyperlink" Target="https://docm.jccm.es/docm/verArchivoHtml.do?ruta=2026/04/10/html/2026_2596.html&amp;tipo=rutaDocm" TargetMode="External"/><Relationship Id="rId28" Type="http://schemas.openxmlformats.org/officeDocument/2006/relationships/hyperlink" Target="https://datos.gob.es/es/catalogo/conjuntos-datos?publisher_display_name=Junta+de+Extremadura" TargetMode="External"/><Relationship Id="rId36" Type="http://schemas.openxmlformats.org/officeDocument/2006/relationships/hyperlink" Target="https://www.caib.es/sites/opendatacaib/es/normativa-27504/archivopub.do?ctrl=MCRST1525ZI331531&amp;id=331531" TargetMode="External"/><Relationship Id="rId49" Type="http://schemas.openxmlformats.org/officeDocument/2006/relationships/hyperlink" Target="https://gobiernoabierto.navarra.es/es/open-data" TargetMode="External"/><Relationship Id="rId57" Type="http://schemas.openxmlformats.org/officeDocument/2006/relationships/hyperlink" Target="https://opendata.euskadi.eus/inicio/" TargetMode="External"/><Relationship Id="rId10" Type="http://schemas.openxmlformats.org/officeDocument/2006/relationships/hyperlink" Target="https://www.juntadeandalucia.es/organismos/transparencia/planificacion-evaluacion-estadistica/planes.html?text=transparencia&amp;sort_by=search_api_relevance&amp;items_per_page=10" TargetMode="External"/><Relationship Id="rId31" Type="http://schemas.openxmlformats.org/officeDocument/2006/relationships/hyperlink" Target="https://abertos.xunta.gal/portada" TargetMode="External"/><Relationship Id="rId44" Type="http://schemas.openxmlformats.org/officeDocument/2006/relationships/hyperlink" Target="https://www.comunidad.madrid/gobierno/digitalizacion/estrategia-digitalizacion-2023-2026" TargetMode="External"/><Relationship Id="rId52" Type="http://schemas.openxmlformats.org/officeDocument/2006/relationships/hyperlink" Target="https://odan.navarra.es/documents/22658525/0/EDN2030.pdf/9a99fc3b-e2f6-dc72-a3a7-853ff265c940?t=1697700187188" TargetMode="External"/><Relationship Id="rId60" Type="http://schemas.openxmlformats.org/officeDocument/2006/relationships/hyperlink" Target="https://www.euskadi.eus/contenidos/informacion/copia_vision_y_mision/es_def/adjuntos/Estrategi-a-para-la-transformacio-n-digital-EUSKADI2025.pdf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juntadeandalucia.es/organismos/transparencia/planificacion-evaluacion-estadistica/planes/detalle/131303.html" TargetMode="External"/><Relationship Id="rId13" Type="http://schemas.openxmlformats.org/officeDocument/2006/relationships/hyperlink" Target="https://opendata.aragon.es" TargetMode="External"/><Relationship Id="rId18" Type="http://schemas.openxmlformats.org/officeDocument/2006/relationships/hyperlink" Target="http://www.gobiernodecanarias.org/boc/2017/249/003.html" TargetMode="External"/><Relationship Id="rId39" Type="http://schemas.openxmlformats.org/officeDocument/2006/relationships/hyperlink" Target="https://www.caib.es/sites/opendatacaib/es/normativa-27504/archivopub.do?ctrl=MCRST1525ZI562787&amp;id=562787" TargetMode="External"/><Relationship Id="rId34" Type="http://schemas.openxmlformats.org/officeDocument/2006/relationships/hyperlink" Target="https://www.boe.es/buscar/pdf/2011/BOE-A-2011-7709-consolidado.pdf" TargetMode="External"/><Relationship Id="rId50" Type="http://schemas.openxmlformats.org/officeDocument/2006/relationships/hyperlink" Target="https://www.lexnavarra.navarra.es/detalle.asp?r=50152" TargetMode="External"/><Relationship Id="rId55" Type="http://schemas.openxmlformats.org/officeDocument/2006/relationships/hyperlink" Target="https://portaldadesobertes.gva.es/documents/170052220/175652607/Lineas-Estrategicas-2023-2027_CAST.pdf/2b9b0ddc-a287-4c88-832f-0b2ef74dee6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RED2023">
      <a:dk1>
        <a:sysClr val="windowText" lastClr="000000"/>
      </a:dk1>
      <a:lt1>
        <a:sysClr val="window" lastClr="FFFFFF"/>
      </a:lt1>
      <a:dk2>
        <a:srgbClr val="245E7C"/>
      </a:dk2>
      <a:lt2>
        <a:srgbClr val="E7E6E6"/>
      </a:lt2>
      <a:accent1>
        <a:srgbClr val="205C7B"/>
      </a:accent1>
      <a:accent2>
        <a:srgbClr val="E05206"/>
      </a:accent2>
      <a:accent3>
        <a:srgbClr val="DFAC37"/>
      </a:accent3>
      <a:accent4>
        <a:srgbClr val="6C8A37"/>
      </a:accent4>
      <a:accent5>
        <a:srgbClr val="205C7B"/>
      </a:accent5>
      <a:accent6>
        <a:srgbClr val="666666"/>
      </a:accent6>
      <a:hlink>
        <a:srgbClr val="0563C1"/>
      </a:hlink>
      <a:folHlink>
        <a:srgbClr val="7F7F7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C065-3FCC-4B3D-950E-56B370AEC9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ef5068-2a59-4445-af82-3a8ffe024a10}" enabled="1" method="Privileged" siteId="{05822f21-3e46-4f13-89ca-bd5353166b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1770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Manager/>
  <Company/>
  <LinksUpToDate>false</LinksUpToDate>
  <CharactersWithSpaces>11488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subject/>
  <dc:creator>Aporta</dc:creator>
  <cp:keywords/>
  <dc:description/>
  <cp:lastModifiedBy>Aida Junquera García</cp:lastModifiedBy>
  <cp:revision>4</cp:revision>
  <cp:lastPrinted>2020-06-26T09:01:00Z</cp:lastPrinted>
  <dcterms:created xsi:type="dcterms:W3CDTF">2026-08-03T10:58:00Z</dcterms:created>
  <dcterms:modified xsi:type="dcterms:W3CDTF">2026-08-03T11:41:00Z</dcterms:modified>
  <cp:category/>
</cp:coreProperties>
</file>