
<file path=[Content_Types].xml><?xml version="1.0" encoding="utf-8"?>
<Types xmlns="http://schemas.openxmlformats.org/package/2006/content-types">
  <Default Extension="png" ContentType="image/png"/>
  <Default Extension="svg" ContentType="image/svg+xml"/>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2210AC" w14:textId="0606B5DB" w:rsidR="00735325" w:rsidRDefault="008B1EF8">
      <w:pPr>
        <w:spacing w:before="22581"/>
        <w:jc w:val="left"/>
      </w:pPr>
      <w:r>
        <w:rPr>
          <w:noProof/>
          <w:lang w:eastAsia="es-ES_tradnl"/>
        </w:rPr>
        <w:drawing>
          <wp:anchor distT="0" distB="0" distL="114300" distR="114935" simplePos="0" relativeHeight="76" behindDoc="0" locked="0" layoutInCell="1" allowOverlap="1" wp14:anchorId="6FE6A85E" wp14:editId="1B2FB83B">
            <wp:simplePos x="0" y="0"/>
            <wp:positionH relativeFrom="page">
              <wp:align>left</wp:align>
            </wp:positionH>
            <wp:positionV relativeFrom="paragraph">
              <wp:posOffset>-1247140</wp:posOffset>
            </wp:positionV>
            <wp:extent cx="7556500" cy="10688955"/>
            <wp:effectExtent l="0" t="0" r="6350" b="0"/>
            <wp:wrapNone/>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1"/>
                    <pic:cNvPicPr>
                      <a:picLocks noChangeAspect="1" noChangeArrowheads="1"/>
                    </pic:cNvPicPr>
                  </pic:nvPicPr>
                  <pic:blipFill>
                    <a:blip r:embed="rId8"/>
                    <a:stretch>
                      <a:fillRect/>
                    </a:stretch>
                  </pic:blipFill>
                  <pic:spPr bwMode="auto">
                    <a:xfrm>
                      <a:off x="0" y="0"/>
                      <a:ext cx="7556500" cy="10688955"/>
                    </a:xfrm>
                    <a:prstGeom prst="rect">
                      <a:avLst/>
                    </a:prstGeom>
                  </pic:spPr>
                </pic:pic>
              </a:graphicData>
            </a:graphic>
          </wp:anchor>
        </w:drawing>
      </w:r>
      <w:r>
        <w:rPr>
          <w:noProof/>
          <w:lang w:eastAsia="es-ES_tradnl"/>
        </w:rPr>
        <mc:AlternateContent>
          <mc:Choice Requires="wps">
            <w:drawing>
              <wp:anchor distT="0" distB="0" distL="114300" distR="114300" simplePos="0" relativeHeight="77" behindDoc="0" locked="0" layoutInCell="1" allowOverlap="1" wp14:anchorId="7526AD95" wp14:editId="7DD696FA">
                <wp:simplePos x="0" y="0"/>
                <wp:positionH relativeFrom="column">
                  <wp:posOffset>-267970</wp:posOffset>
                </wp:positionH>
                <wp:positionV relativeFrom="page">
                  <wp:posOffset>914400</wp:posOffset>
                </wp:positionV>
                <wp:extent cx="6377940" cy="1645920"/>
                <wp:effectExtent l="0" t="0" r="0" b="0"/>
                <wp:wrapSquare wrapText="bothSides"/>
                <wp:docPr id="1" name="Cuadro de texto 6"/>
                <wp:cNvGraphicFramePr/>
                <a:graphic xmlns:a="http://schemas.openxmlformats.org/drawingml/2006/main">
                  <a:graphicData uri="http://schemas.microsoft.com/office/word/2010/wordprocessingShape">
                    <wps:wsp>
                      <wps:cNvSpPr/>
                      <wps:spPr>
                        <a:xfrm>
                          <a:off x="0" y="0"/>
                          <a:ext cx="6377940" cy="1645920"/>
                        </a:xfrm>
                        <a:prstGeom prst="rect">
                          <a:avLst/>
                        </a:prstGeom>
                        <a:noFill/>
                        <a:ln>
                          <a:noFill/>
                        </a:ln>
                      </wps:spPr>
                      <wps:style>
                        <a:lnRef idx="0">
                          <a:schemeClr val="accent1"/>
                        </a:lnRef>
                        <a:fillRef idx="0">
                          <a:schemeClr val="accent1"/>
                        </a:fillRef>
                        <a:effectRef idx="0">
                          <a:schemeClr val="accent1"/>
                        </a:effectRef>
                        <a:fontRef idx="minor"/>
                      </wps:style>
                      <wps:txbx>
                        <w:txbxContent>
                          <w:p w14:paraId="1376AA3C" w14:textId="554996FB" w:rsidR="003651FD" w:rsidRPr="00B72ACF" w:rsidRDefault="003651FD">
                            <w:pPr>
                              <w:pStyle w:val="TtuloPortada"/>
                              <w:rPr>
                                <w:lang w:val="en-GB"/>
                              </w:rPr>
                            </w:pPr>
                            <w:bookmarkStart w:id="0" w:name="_Hlk31029508"/>
                            <w:r w:rsidRPr="00B72ACF">
                              <w:rPr>
                                <w:lang w:val="en-GB"/>
                              </w:rPr>
                              <w:t xml:space="preserve">Open data beyond </w:t>
                            </w:r>
                            <w:r>
                              <w:rPr>
                                <w:lang w:val="en-GB"/>
                              </w:rPr>
                              <w:t>the public sector</w:t>
                            </w:r>
                          </w:p>
                          <w:bookmarkEnd w:id="0"/>
                          <w:p w14:paraId="4A6D8627" w14:textId="4473F40B" w:rsidR="003651FD" w:rsidRPr="00B72ACF" w:rsidRDefault="003651FD" w:rsidP="008B1EF8">
                            <w:pPr>
                              <w:pStyle w:val="Contenidodelmarco"/>
                              <w:jc w:val="center"/>
                              <w:rPr>
                                <w:b/>
                                <w:sz w:val="26"/>
                                <w:lang w:val="en-GB"/>
                              </w:rPr>
                            </w:pPr>
                            <w:r w:rsidRPr="00B72ACF">
                              <w:rPr>
                                <w:b/>
                                <w:sz w:val="26"/>
                                <w:lang w:val="en-GB"/>
                              </w:rPr>
                              <w:t>PUBL</w:t>
                            </w:r>
                            <w:r>
                              <w:rPr>
                                <w:b/>
                                <w:sz w:val="26"/>
                                <w:lang w:val="en-GB"/>
                              </w:rPr>
                              <w:t>ISHER</w:t>
                            </w:r>
                            <w:r w:rsidRPr="00B72ACF">
                              <w:rPr>
                                <w:b/>
                                <w:sz w:val="26"/>
                                <w:lang w:val="en-GB"/>
                              </w:rPr>
                              <w:t>S, MOTIVATIONS AND COLLABORATION MODELS</w:t>
                            </w:r>
                          </w:p>
                        </w:txbxContent>
                      </wps:txbx>
                      <wps:bodyPr wrap="square">
                        <a:prstTxWarp prst="textNoShape">
                          <a:avLst/>
                        </a:prstTxWarp>
                        <a:noAutofit/>
                      </wps:bodyPr>
                    </wps:wsp>
                  </a:graphicData>
                </a:graphic>
                <wp14:sizeRelV relativeFrom="margin">
                  <wp14:pctHeight>0</wp14:pctHeight>
                </wp14:sizeRelV>
              </wp:anchor>
            </w:drawing>
          </mc:Choice>
          <mc:Fallback>
            <w:pict>
              <v:rect w14:anchorId="7526AD95" id="Cuadro de texto 6" o:spid="_x0000_s1026" style="position:absolute;margin-left:-21.1pt;margin-top:1in;width:502.2pt;height:129.6pt;z-index:77;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" filled="f" stroked="f">
                <v:textbox>
                  <w:txbxContent>
                    <w:p w14:paraId="1376AA3C" w14:textId="554996FB" w:rsidR="003651FD" w:rsidRPr="00B72ACF" w:rsidRDefault="003651FD">
                      <w:pPr>
                        <w:pStyle w:val="TtuloPortada"/>
                        <w:rPr>
                          <w:lang w:val="en-GB"/>
                        </w:rPr>
                      </w:pPr>
                      <w:bookmarkStart w:id="1" w:name="_Hlk31029508"/>
                      <w:r w:rsidRPr="00B72ACF">
                        <w:rPr>
                          <w:lang w:val="en-GB"/>
                        </w:rPr>
                        <w:t xml:space="preserve">Open data beyond </w:t>
                      </w:r>
                      <w:r>
                        <w:rPr>
                          <w:lang w:val="en-GB"/>
                        </w:rPr>
                        <w:t>the public sector</w:t>
                      </w:r>
                    </w:p>
                    <w:bookmarkEnd w:id="1"/>
                    <w:p w14:paraId="4A6D8627" w14:textId="4473F40B" w:rsidR="003651FD" w:rsidRPr="00B72ACF" w:rsidRDefault="003651FD" w:rsidP="008B1EF8">
                      <w:pPr>
                        <w:pStyle w:val="Contenidodelmarco"/>
                        <w:jc w:val="center"/>
                        <w:rPr>
                          <w:b/>
                          <w:sz w:val="26"/>
                          <w:lang w:val="en-GB"/>
                        </w:rPr>
                      </w:pPr>
                      <w:r w:rsidRPr="00B72ACF">
                        <w:rPr>
                          <w:b/>
                          <w:sz w:val="26"/>
                          <w:lang w:val="en-GB"/>
                        </w:rPr>
                        <w:t>PUBL</w:t>
                      </w:r>
                      <w:r>
                        <w:rPr>
                          <w:b/>
                          <w:sz w:val="26"/>
                          <w:lang w:val="en-GB"/>
                        </w:rPr>
                        <w:t>ISHER</w:t>
                      </w:r>
                      <w:r w:rsidRPr="00B72ACF">
                        <w:rPr>
                          <w:b/>
                          <w:sz w:val="26"/>
                          <w:lang w:val="en-GB"/>
                        </w:rPr>
                        <w:t>S, MOTIVATIONS AND COLLABORATION MODELS</w:t>
                      </w:r>
                    </w:p>
                  </w:txbxContent>
                </v:textbox>
                <w10:wrap type="square" anchory="page"/>
              </v:rect>
            </w:pict>
          </mc:Fallback>
        </mc:AlternateContent>
      </w:r>
      <w:r w:rsidR="000013DE">
        <w:rPr>
          <w:noProof/>
          <w:lang w:eastAsia="es-ES_tradnl"/>
        </w:rPr>
        <mc:AlternateContent>
          <mc:Choice Requires="wps">
            <w:drawing>
              <wp:anchor distT="45720" distB="45720" distL="114300" distR="114300" simplePos="0" relativeHeight="109" behindDoc="0" locked="0" layoutInCell="1" allowOverlap="1" wp14:anchorId="5121EBC3" wp14:editId="1D5E88FC">
                <wp:simplePos x="0" y="0"/>
                <wp:positionH relativeFrom="page">
                  <wp:posOffset>5240655</wp:posOffset>
                </wp:positionH>
                <wp:positionV relativeFrom="paragraph">
                  <wp:posOffset>8374380</wp:posOffset>
                </wp:positionV>
                <wp:extent cx="2305050" cy="1132840"/>
                <wp:effectExtent l="0" t="0" r="0" b="0"/>
                <wp:wrapNone/>
                <wp:docPr id="3" name="Cuadro de texto 2"/>
                <wp:cNvGraphicFramePr/>
                <a:graphic xmlns:a="http://schemas.openxmlformats.org/drawingml/2006/main">
                  <a:graphicData uri="http://schemas.microsoft.com/office/word/2010/wordprocessingShape">
                    <wps:wsp>
                      <wps:cNvSpPr/>
                      <wps:spPr>
                        <a:xfrm>
                          <a:off x="0" y="0"/>
                          <a:ext cx="2305050" cy="1132840"/>
                        </a:xfrm>
                        <a:prstGeom prst="rect">
                          <a:avLst/>
                        </a:prstGeom>
                        <a:solidFill>
                          <a:srgbClr val="FFFFFF"/>
                        </a:solidFill>
                        <a:ln w="9360">
                          <a:noFill/>
                        </a:ln>
                      </wps:spPr>
                      <wps:style>
                        <a:lnRef idx="0">
                          <a:scrgbClr r="0" g="0" b="0"/>
                        </a:lnRef>
                        <a:fillRef idx="0">
                          <a:scrgbClr r="0" g="0" b="0"/>
                        </a:fillRef>
                        <a:effectRef idx="0">
                          <a:scrgbClr r="0" g="0" b="0"/>
                        </a:effectRef>
                        <a:fontRef idx="minor"/>
                      </wps:style>
                      <wps:txbx>
                        <w:txbxContent>
                          <w:p w14:paraId="0068F949" w14:textId="088791E3" w:rsidR="003651FD" w:rsidRDefault="003651FD">
                            <w:pPr>
                              <w:pStyle w:val="Piedepgina"/>
                              <w:ind w:right="459"/>
                              <w:jc w:val="right"/>
                              <w:rPr>
                                <w:color w:val="7030A0"/>
                                <w:sz w:val="26"/>
                              </w:rPr>
                            </w:pPr>
                            <w:r>
                              <w:rPr>
                                <w:color w:val="7030A0"/>
                                <w:sz w:val="26"/>
                              </w:rPr>
                              <w:t>February 2020</w:t>
                            </w:r>
                          </w:p>
                          <w:p w14:paraId="56301F10" w14:textId="77777777" w:rsidR="003651FD" w:rsidRDefault="003651FD">
                            <w:pPr>
                              <w:pStyle w:val="Contenidodelmarco"/>
                              <w:ind w:right="742"/>
                            </w:pPr>
                          </w:p>
                        </w:txbxContent>
                      </wps:txbx>
                      <wps:bodyPr>
                        <a:spAutoFit/>
                      </wps:bodyPr>
                    </wps:wsp>
                  </a:graphicData>
                </a:graphic>
                <wp14:sizeRelH relativeFrom="margin">
                  <wp14:pctWidth>40000</wp14:pctWidth>
                </wp14:sizeRelH>
                <wp14:sizeRelV relativeFrom="margin">
                  <wp14:pctHeight>20000</wp14:pctHeight>
                </wp14:sizeRelV>
              </wp:anchor>
            </w:drawing>
          </mc:Choice>
          <mc:Fallback>
            <w:pict>
              <v:rect w14:anchorId="5121EBC3" id="Cuadro de texto 2" o:spid="_x0000_s1027" style="position:absolute;margin-left:412.65pt;margin-top:659.4pt;width:181.5pt;height:89.2pt;z-index:109;visibility:visible;mso-wrap-style:square;mso-width-percent:400;mso-height-percent:200;mso-wrap-distance-left:9pt;mso-wrap-distance-top:3.6pt;mso-wrap-distance-right:9pt;mso-wrap-distance-bottom:3.6pt;mso-position-horizontal:absolute;mso-position-horizontal-relative:page;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" stroked="f" strokeweight=".26mm">
                <v:textbox style="mso-fit-shape-to-text:t">
                  <w:txbxContent>
                    <w:p w14:paraId="0068F949" w14:textId="088791E3" w:rsidR="003651FD" w:rsidRDefault="003651FD">
                      <w:pPr>
                        <w:pStyle w:val="Piedepgina"/>
                        <w:ind w:right="459"/>
                        <w:jc w:val="right"/>
                        <w:rPr>
                          <w:color w:val="7030A0"/>
                          <w:sz w:val="26"/>
                        </w:rPr>
                      </w:pPr>
                      <w:proofErr w:type="spellStart"/>
                      <w:r>
                        <w:rPr>
                          <w:color w:val="7030A0"/>
                          <w:sz w:val="26"/>
                        </w:rPr>
                        <w:t>February</w:t>
                      </w:r>
                      <w:proofErr w:type="spellEnd"/>
                      <w:r>
                        <w:rPr>
                          <w:color w:val="7030A0"/>
                          <w:sz w:val="26"/>
                        </w:rPr>
                        <w:t xml:space="preserve"> 2020</w:t>
                      </w:r>
                    </w:p>
                    <w:p w14:paraId="56301F10" w14:textId="77777777" w:rsidR="003651FD" w:rsidRDefault="003651FD">
                      <w:pPr>
                        <w:pStyle w:val="Contenidodelmarco"/>
                        <w:ind w:right="742"/>
                      </w:pPr>
                    </w:p>
                  </w:txbxContent>
                </v:textbox>
                <w10:wrap anchorx="page"/>
              </v:rect>
            </w:pict>
          </mc:Fallback>
        </mc:AlternateContent>
      </w:r>
      <w:r w:rsidR="00E47707">
        <w:rPr>
          <w:noProof/>
          <w:lang w:val="es-ES" w:eastAsia="es-ES"/>
        </w:rPr>
        <w:t>xx</w:t>
      </w:r>
      <w:r w:rsidR="000013DE">
        <w:rPr>
          <w:rStyle w:val="Ttulo3Car"/>
          <w:lang w:val="es-ES" w:eastAsia="es-ES"/>
        </w:rPr>
        <w:t xml:space="preserve">  </w:t>
      </w:r>
      <w:r w:rsidR="000013DE">
        <w:br w:type="page"/>
      </w:r>
    </w:p>
    <w:p w14:paraId="5B610FF1" w14:textId="6321EB96" w:rsidR="00735325" w:rsidRDefault="00735325" w:rsidP="007D2D51">
      <w:pPr>
        <w:jc w:val="left"/>
        <w:sectPr w:rsidR="00735325">
          <w:headerReference w:type="default" r:id="rId9"/>
          <w:footerReference w:type="default" r:id="rId10"/>
          <w:footerReference w:type="first" r:id="rId11"/>
          <w:pgSz w:w="11906" w:h="16838"/>
          <w:pgMar w:top="1950" w:right="1412" w:bottom="1877" w:left="1418" w:header="227" w:footer="0" w:gutter="0"/>
          <w:pgNumType w:start="0"/>
          <w:cols w:space="720"/>
          <w:formProt w:val="0"/>
          <w:titlePg/>
          <w:docGrid w:linePitch="360"/>
        </w:sectPr>
      </w:pPr>
    </w:p>
    <w:sdt>
      <w:sdtPr>
        <w:rPr>
          <w:rFonts w:ascii="Myriad Pro" w:eastAsia="Calibri" w:hAnsi="Myriad Pro" w:cstheme="minorBidi"/>
          <w:b w:val="0"/>
          <w:bCs w:val="0"/>
          <w:sz w:val="24"/>
          <w:szCs w:val="24"/>
        </w:rPr>
        <w:id w:val="596780333"/>
        <w:docPartObj>
          <w:docPartGallery w:val="Table of Contents"/>
          <w:docPartUnique/>
        </w:docPartObj>
      </w:sdtPr>
      <w:sdtEndPr/>
      <w:sdtContent>
        <w:p w14:paraId="57F15A58" w14:textId="4EE1B8E1" w:rsidR="00735325" w:rsidRDefault="00735325">
          <w:pPr>
            <w:pStyle w:val="Encabezadodelista"/>
          </w:pPr>
        </w:p>
        <w:p w14:paraId="5E4D4561" w14:textId="5D1AFCCE" w:rsidR="007B328B" w:rsidRDefault="000013DE">
          <w:pPr>
            <w:pStyle w:val="TDC1"/>
            <w:rPr>
              <w:rFonts w:asciiTheme="minorHAnsi" w:eastAsiaTheme="minorEastAsia" w:hAnsiTheme="minorHAnsi" w:cstheme="minorBidi"/>
              <w:b w:val="0"/>
              <w:smallCaps w:val="0"/>
              <w:noProof/>
              <w:color w:val="auto"/>
              <w:sz w:val="22"/>
              <w:szCs w:val="22"/>
              <w:lang w:eastAsia="es-ES"/>
            </w:rPr>
          </w:pPr>
          <w:r w:rsidRPr="00B7528C">
            <w:fldChar w:fldCharType="begin"/>
          </w:r>
          <w:r w:rsidRPr="00B7528C">
            <w:rPr>
              <w:rStyle w:val="Enlacedelndice"/>
              <w:webHidden/>
            </w:rPr>
            <w:instrText>TOC \z \o "1-3" \u \h</w:instrText>
          </w:r>
          <w:r w:rsidRPr="00B7528C">
            <w:rPr>
              <w:rStyle w:val="Enlacedelndice"/>
            </w:rPr>
            <w:fldChar w:fldCharType="separate"/>
          </w:r>
          <w:hyperlink w:anchor="_Toc34134684" w:history="1">
            <w:r w:rsidR="007B328B" w:rsidRPr="005522BE">
              <w:rPr>
                <w:rStyle w:val="Hipervnculo"/>
                <w:noProof/>
                <w:lang w:val="en-GB"/>
              </w:rPr>
              <w:t>Introduction</w:t>
            </w:r>
            <w:r w:rsidR="007B328B">
              <w:rPr>
                <w:noProof/>
                <w:webHidden/>
              </w:rPr>
              <w:tab/>
            </w:r>
            <w:r w:rsidR="007B328B">
              <w:rPr>
                <w:noProof/>
                <w:webHidden/>
              </w:rPr>
              <w:fldChar w:fldCharType="begin"/>
            </w:r>
            <w:r w:rsidR="007B328B">
              <w:rPr>
                <w:noProof/>
                <w:webHidden/>
              </w:rPr>
              <w:instrText xml:space="preserve"> PAGEREF _Toc34134684 \h </w:instrText>
            </w:r>
            <w:r w:rsidR="007B328B">
              <w:rPr>
                <w:noProof/>
                <w:webHidden/>
              </w:rPr>
            </w:r>
            <w:r w:rsidR="007B328B">
              <w:rPr>
                <w:noProof/>
                <w:webHidden/>
              </w:rPr>
              <w:fldChar w:fldCharType="separate"/>
            </w:r>
            <w:r w:rsidR="00977596">
              <w:rPr>
                <w:noProof/>
                <w:webHidden/>
              </w:rPr>
              <w:t>4</w:t>
            </w:r>
            <w:r w:rsidR="007B328B">
              <w:rPr>
                <w:noProof/>
                <w:webHidden/>
              </w:rPr>
              <w:fldChar w:fldCharType="end"/>
            </w:r>
          </w:hyperlink>
        </w:p>
        <w:p w14:paraId="556B87C8" w14:textId="4EF98A13" w:rsidR="007B328B" w:rsidRDefault="00F713DD">
          <w:pPr>
            <w:pStyle w:val="TDC1"/>
            <w:rPr>
              <w:rFonts w:asciiTheme="minorHAnsi" w:eastAsiaTheme="minorEastAsia" w:hAnsiTheme="minorHAnsi" w:cstheme="minorBidi"/>
              <w:b w:val="0"/>
              <w:smallCaps w:val="0"/>
              <w:noProof/>
              <w:color w:val="auto"/>
              <w:sz w:val="22"/>
              <w:szCs w:val="22"/>
              <w:lang w:eastAsia="es-ES"/>
            </w:rPr>
          </w:pPr>
          <w:hyperlink w:anchor="_Toc34134685" w:history="1">
            <w:r w:rsidR="007B328B" w:rsidRPr="005522BE">
              <w:rPr>
                <w:rStyle w:val="Hipervnculo"/>
                <w:noProof/>
                <w:lang w:val="en-GB"/>
              </w:rPr>
              <w:t>Part I: Other data producing sectors</w:t>
            </w:r>
            <w:r w:rsidR="007B328B">
              <w:rPr>
                <w:noProof/>
                <w:webHidden/>
              </w:rPr>
              <w:tab/>
            </w:r>
            <w:r w:rsidR="007B328B">
              <w:rPr>
                <w:noProof/>
                <w:webHidden/>
              </w:rPr>
              <w:fldChar w:fldCharType="begin"/>
            </w:r>
            <w:r w:rsidR="007B328B">
              <w:rPr>
                <w:noProof/>
                <w:webHidden/>
              </w:rPr>
              <w:instrText xml:space="preserve"> PAGEREF _Toc34134685 \h </w:instrText>
            </w:r>
            <w:r w:rsidR="007B328B">
              <w:rPr>
                <w:noProof/>
                <w:webHidden/>
              </w:rPr>
            </w:r>
            <w:r w:rsidR="007B328B">
              <w:rPr>
                <w:noProof/>
                <w:webHidden/>
              </w:rPr>
              <w:fldChar w:fldCharType="separate"/>
            </w:r>
            <w:r w:rsidR="00977596">
              <w:rPr>
                <w:noProof/>
                <w:webHidden/>
              </w:rPr>
              <w:t>6</w:t>
            </w:r>
            <w:r w:rsidR="007B328B">
              <w:rPr>
                <w:noProof/>
                <w:webHidden/>
              </w:rPr>
              <w:fldChar w:fldCharType="end"/>
            </w:r>
          </w:hyperlink>
        </w:p>
        <w:p w14:paraId="1944F2ED" w14:textId="7A42EA39"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686" w:history="1">
            <w:r w:rsidR="007B328B" w:rsidRPr="005522BE">
              <w:rPr>
                <w:rStyle w:val="Hipervnculo"/>
                <w:noProof/>
              </w:rPr>
              <w:t>1.1. DATA FROM THE PRIVATE SECTOR</w:t>
            </w:r>
            <w:r w:rsidR="007B328B">
              <w:rPr>
                <w:noProof/>
                <w:webHidden/>
              </w:rPr>
              <w:tab/>
            </w:r>
            <w:r w:rsidR="007B328B">
              <w:rPr>
                <w:noProof/>
                <w:webHidden/>
              </w:rPr>
              <w:fldChar w:fldCharType="begin"/>
            </w:r>
            <w:r w:rsidR="007B328B">
              <w:rPr>
                <w:noProof/>
                <w:webHidden/>
              </w:rPr>
              <w:instrText xml:space="preserve"> PAGEREF _Toc34134686 \h </w:instrText>
            </w:r>
            <w:r w:rsidR="007B328B">
              <w:rPr>
                <w:noProof/>
                <w:webHidden/>
              </w:rPr>
            </w:r>
            <w:r w:rsidR="007B328B">
              <w:rPr>
                <w:noProof/>
                <w:webHidden/>
              </w:rPr>
              <w:fldChar w:fldCharType="separate"/>
            </w:r>
            <w:r w:rsidR="00977596">
              <w:rPr>
                <w:noProof/>
                <w:webHidden/>
              </w:rPr>
              <w:t>7</w:t>
            </w:r>
            <w:r w:rsidR="007B328B">
              <w:rPr>
                <w:noProof/>
                <w:webHidden/>
              </w:rPr>
              <w:fldChar w:fldCharType="end"/>
            </w:r>
          </w:hyperlink>
        </w:p>
        <w:p w14:paraId="05283DD3" w14:textId="1E0A2C92" w:rsidR="007B328B" w:rsidRDefault="00F713DD">
          <w:pPr>
            <w:pStyle w:val="TDC3"/>
            <w:rPr>
              <w:rFonts w:asciiTheme="minorHAnsi" w:eastAsiaTheme="minorEastAsia" w:hAnsiTheme="minorHAnsi" w:cstheme="minorBidi"/>
              <w:noProof/>
              <w:color w:val="auto"/>
              <w:sz w:val="22"/>
              <w:szCs w:val="22"/>
              <w:lang w:eastAsia="es-ES"/>
            </w:rPr>
          </w:pPr>
          <w:hyperlink w:anchor="_Toc34134687" w:history="1">
            <w:r w:rsidR="007B328B" w:rsidRPr="005522BE">
              <w:rPr>
                <w:rStyle w:val="Hipervnculo"/>
                <w:noProof/>
                <w:lang w:val="en-GB"/>
              </w:rPr>
              <w:t>1.1.1 – Regulation in specific scetors</w:t>
            </w:r>
            <w:r w:rsidR="007B328B">
              <w:rPr>
                <w:noProof/>
                <w:webHidden/>
              </w:rPr>
              <w:tab/>
            </w:r>
            <w:r w:rsidR="007B328B">
              <w:rPr>
                <w:noProof/>
                <w:webHidden/>
              </w:rPr>
              <w:fldChar w:fldCharType="begin"/>
            </w:r>
            <w:r w:rsidR="007B328B">
              <w:rPr>
                <w:noProof/>
                <w:webHidden/>
              </w:rPr>
              <w:instrText xml:space="preserve"> PAGEREF _Toc34134687 \h </w:instrText>
            </w:r>
            <w:r w:rsidR="007B328B">
              <w:rPr>
                <w:noProof/>
                <w:webHidden/>
              </w:rPr>
            </w:r>
            <w:r w:rsidR="007B328B">
              <w:rPr>
                <w:noProof/>
                <w:webHidden/>
              </w:rPr>
              <w:fldChar w:fldCharType="separate"/>
            </w:r>
            <w:r w:rsidR="00977596">
              <w:rPr>
                <w:noProof/>
                <w:webHidden/>
              </w:rPr>
              <w:t>8</w:t>
            </w:r>
            <w:r w:rsidR="007B328B">
              <w:rPr>
                <w:noProof/>
                <w:webHidden/>
              </w:rPr>
              <w:fldChar w:fldCharType="end"/>
            </w:r>
          </w:hyperlink>
        </w:p>
        <w:p w14:paraId="73D88551" w14:textId="04B96E49" w:rsidR="007B328B" w:rsidRDefault="00F713DD">
          <w:pPr>
            <w:pStyle w:val="TDC3"/>
            <w:rPr>
              <w:rFonts w:asciiTheme="minorHAnsi" w:eastAsiaTheme="minorEastAsia" w:hAnsiTheme="minorHAnsi" w:cstheme="minorBidi"/>
              <w:noProof/>
              <w:color w:val="auto"/>
              <w:sz w:val="22"/>
              <w:szCs w:val="22"/>
              <w:lang w:eastAsia="es-ES"/>
            </w:rPr>
          </w:pPr>
          <w:hyperlink w:anchor="_Toc34134688" w:history="1">
            <w:r w:rsidR="007B328B" w:rsidRPr="005522BE">
              <w:rPr>
                <w:rStyle w:val="Hipervnculo"/>
                <w:noProof/>
                <w:lang w:val="en-GB"/>
              </w:rPr>
              <w:t>1.1.2 – Institutional Transparency</w:t>
            </w:r>
            <w:r w:rsidR="007B328B">
              <w:rPr>
                <w:noProof/>
                <w:webHidden/>
              </w:rPr>
              <w:tab/>
            </w:r>
            <w:r w:rsidR="007B328B">
              <w:rPr>
                <w:noProof/>
                <w:webHidden/>
              </w:rPr>
              <w:fldChar w:fldCharType="begin"/>
            </w:r>
            <w:r w:rsidR="007B328B">
              <w:rPr>
                <w:noProof/>
                <w:webHidden/>
              </w:rPr>
              <w:instrText xml:space="preserve"> PAGEREF _Toc34134688 \h </w:instrText>
            </w:r>
            <w:r w:rsidR="007B328B">
              <w:rPr>
                <w:noProof/>
                <w:webHidden/>
              </w:rPr>
            </w:r>
            <w:r w:rsidR="007B328B">
              <w:rPr>
                <w:noProof/>
                <w:webHidden/>
              </w:rPr>
              <w:fldChar w:fldCharType="separate"/>
            </w:r>
            <w:r w:rsidR="00977596">
              <w:rPr>
                <w:noProof/>
                <w:webHidden/>
              </w:rPr>
              <w:t>9</w:t>
            </w:r>
            <w:r w:rsidR="007B328B">
              <w:rPr>
                <w:noProof/>
                <w:webHidden/>
              </w:rPr>
              <w:fldChar w:fldCharType="end"/>
            </w:r>
          </w:hyperlink>
        </w:p>
        <w:p w14:paraId="547F6112" w14:textId="21F3E6E1" w:rsidR="007B328B" w:rsidRDefault="00F713DD">
          <w:pPr>
            <w:pStyle w:val="TDC3"/>
            <w:rPr>
              <w:rFonts w:asciiTheme="minorHAnsi" w:eastAsiaTheme="minorEastAsia" w:hAnsiTheme="minorHAnsi" w:cstheme="minorBidi"/>
              <w:noProof/>
              <w:color w:val="auto"/>
              <w:sz w:val="22"/>
              <w:szCs w:val="22"/>
              <w:lang w:eastAsia="es-ES"/>
            </w:rPr>
          </w:pPr>
          <w:hyperlink w:anchor="_Toc34134689" w:history="1">
            <w:r w:rsidR="007B328B" w:rsidRPr="005522BE">
              <w:rPr>
                <w:rStyle w:val="Hipervnculo"/>
                <w:noProof/>
                <w:lang w:val="en-GB"/>
              </w:rPr>
              <w:t>1.1.3. Corporate social responsability</w:t>
            </w:r>
            <w:r w:rsidR="007B328B">
              <w:rPr>
                <w:noProof/>
                <w:webHidden/>
              </w:rPr>
              <w:tab/>
            </w:r>
            <w:r w:rsidR="007B328B">
              <w:rPr>
                <w:noProof/>
                <w:webHidden/>
              </w:rPr>
              <w:fldChar w:fldCharType="begin"/>
            </w:r>
            <w:r w:rsidR="007B328B">
              <w:rPr>
                <w:noProof/>
                <w:webHidden/>
              </w:rPr>
              <w:instrText xml:space="preserve"> PAGEREF _Toc34134689 \h </w:instrText>
            </w:r>
            <w:r w:rsidR="007B328B">
              <w:rPr>
                <w:noProof/>
                <w:webHidden/>
              </w:rPr>
            </w:r>
            <w:r w:rsidR="007B328B">
              <w:rPr>
                <w:noProof/>
                <w:webHidden/>
              </w:rPr>
              <w:fldChar w:fldCharType="separate"/>
            </w:r>
            <w:r w:rsidR="00977596">
              <w:rPr>
                <w:noProof/>
                <w:webHidden/>
              </w:rPr>
              <w:t>10</w:t>
            </w:r>
            <w:r w:rsidR="007B328B">
              <w:rPr>
                <w:noProof/>
                <w:webHidden/>
              </w:rPr>
              <w:fldChar w:fldCharType="end"/>
            </w:r>
          </w:hyperlink>
        </w:p>
        <w:p w14:paraId="35BBD811" w14:textId="37854694" w:rsidR="007B328B" w:rsidRDefault="00F713DD">
          <w:pPr>
            <w:pStyle w:val="TDC3"/>
            <w:rPr>
              <w:rFonts w:asciiTheme="minorHAnsi" w:eastAsiaTheme="minorEastAsia" w:hAnsiTheme="minorHAnsi" w:cstheme="minorBidi"/>
              <w:noProof/>
              <w:color w:val="auto"/>
              <w:sz w:val="22"/>
              <w:szCs w:val="22"/>
              <w:lang w:eastAsia="es-ES"/>
            </w:rPr>
          </w:pPr>
          <w:hyperlink w:anchor="_Toc34134690" w:history="1">
            <w:r w:rsidR="007B328B" w:rsidRPr="005522BE">
              <w:rPr>
                <w:rStyle w:val="Hipervnculo"/>
                <w:noProof/>
              </w:rPr>
              <w:t>1.1.4</w:t>
            </w:r>
            <w:r w:rsidR="007B328B">
              <w:rPr>
                <w:rFonts w:asciiTheme="minorHAnsi" w:eastAsiaTheme="minorEastAsia" w:hAnsiTheme="minorHAnsi" w:cstheme="minorBidi"/>
                <w:noProof/>
                <w:color w:val="auto"/>
                <w:sz w:val="22"/>
                <w:szCs w:val="22"/>
                <w:lang w:eastAsia="es-ES"/>
              </w:rPr>
              <w:tab/>
            </w:r>
            <w:r w:rsidR="007B328B" w:rsidRPr="005522BE">
              <w:rPr>
                <w:rStyle w:val="Hipervnculo"/>
                <w:noProof/>
              </w:rPr>
              <w:t>– Data philanthropy</w:t>
            </w:r>
            <w:r w:rsidR="007B328B">
              <w:rPr>
                <w:noProof/>
                <w:webHidden/>
              </w:rPr>
              <w:tab/>
            </w:r>
            <w:r w:rsidR="007B328B">
              <w:rPr>
                <w:noProof/>
                <w:webHidden/>
              </w:rPr>
              <w:fldChar w:fldCharType="begin"/>
            </w:r>
            <w:r w:rsidR="007B328B">
              <w:rPr>
                <w:noProof/>
                <w:webHidden/>
              </w:rPr>
              <w:instrText xml:space="preserve"> PAGEREF _Toc34134690 \h </w:instrText>
            </w:r>
            <w:r w:rsidR="007B328B">
              <w:rPr>
                <w:noProof/>
                <w:webHidden/>
              </w:rPr>
            </w:r>
            <w:r w:rsidR="007B328B">
              <w:rPr>
                <w:noProof/>
                <w:webHidden/>
              </w:rPr>
              <w:fldChar w:fldCharType="separate"/>
            </w:r>
            <w:r w:rsidR="00977596">
              <w:rPr>
                <w:noProof/>
                <w:webHidden/>
              </w:rPr>
              <w:t>11</w:t>
            </w:r>
            <w:r w:rsidR="007B328B">
              <w:rPr>
                <w:noProof/>
                <w:webHidden/>
              </w:rPr>
              <w:fldChar w:fldCharType="end"/>
            </w:r>
          </w:hyperlink>
        </w:p>
        <w:p w14:paraId="025CC691" w14:textId="5CEC7300" w:rsidR="007B328B" w:rsidRDefault="00F713DD">
          <w:pPr>
            <w:pStyle w:val="TDC3"/>
            <w:rPr>
              <w:rFonts w:asciiTheme="minorHAnsi" w:eastAsiaTheme="minorEastAsia" w:hAnsiTheme="minorHAnsi" w:cstheme="minorBidi"/>
              <w:noProof/>
              <w:color w:val="auto"/>
              <w:sz w:val="22"/>
              <w:szCs w:val="22"/>
              <w:lang w:eastAsia="es-ES"/>
            </w:rPr>
          </w:pPr>
          <w:hyperlink w:anchor="_Toc34134691" w:history="1">
            <w:r w:rsidR="007B328B" w:rsidRPr="005522BE">
              <w:rPr>
                <w:rStyle w:val="Hipervnculo"/>
                <w:noProof/>
                <w:lang w:val="en-GB"/>
              </w:rPr>
              <w:t>1.1.5 – Commercial data intermediation services</w:t>
            </w:r>
            <w:r w:rsidR="007B328B">
              <w:rPr>
                <w:noProof/>
                <w:webHidden/>
              </w:rPr>
              <w:tab/>
            </w:r>
            <w:r w:rsidR="007B328B">
              <w:rPr>
                <w:noProof/>
                <w:webHidden/>
              </w:rPr>
              <w:fldChar w:fldCharType="begin"/>
            </w:r>
            <w:r w:rsidR="007B328B">
              <w:rPr>
                <w:noProof/>
                <w:webHidden/>
              </w:rPr>
              <w:instrText xml:space="preserve"> PAGEREF _Toc34134691 \h </w:instrText>
            </w:r>
            <w:r w:rsidR="007B328B">
              <w:rPr>
                <w:noProof/>
                <w:webHidden/>
              </w:rPr>
            </w:r>
            <w:r w:rsidR="007B328B">
              <w:rPr>
                <w:noProof/>
                <w:webHidden/>
              </w:rPr>
              <w:fldChar w:fldCharType="separate"/>
            </w:r>
            <w:r w:rsidR="00977596">
              <w:rPr>
                <w:noProof/>
                <w:webHidden/>
              </w:rPr>
              <w:t>12</w:t>
            </w:r>
            <w:r w:rsidR="007B328B">
              <w:rPr>
                <w:noProof/>
                <w:webHidden/>
              </w:rPr>
              <w:fldChar w:fldCharType="end"/>
            </w:r>
          </w:hyperlink>
        </w:p>
        <w:p w14:paraId="3C3A599B" w14:textId="2DE28404"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692" w:history="1">
            <w:r w:rsidR="007B328B" w:rsidRPr="005522BE">
              <w:rPr>
                <w:rStyle w:val="Hipervnculo"/>
                <w:noProof/>
              </w:rPr>
              <w:t>1.2. - ACADEMIC AND INNOVATION SECTOR DATA</w:t>
            </w:r>
            <w:r w:rsidR="007B328B">
              <w:rPr>
                <w:noProof/>
                <w:webHidden/>
              </w:rPr>
              <w:tab/>
            </w:r>
            <w:r w:rsidR="007B328B">
              <w:rPr>
                <w:noProof/>
                <w:webHidden/>
              </w:rPr>
              <w:fldChar w:fldCharType="begin"/>
            </w:r>
            <w:r w:rsidR="007B328B">
              <w:rPr>
                <w:noProof/>
                <w:webHidden/>
              </w:rPr>
              <w:instrText xml:space="preserve"> PAGEREF _Toc34134692 \h </w:instrText>
            </w:r>
            <w:r w:rsidR="007B328B">
              <w:rPr>
                <w:noProof/>
                <w:webHidden/>
              </w:rPr>
            </w:r>
            <w:r w:rsidR="007B328B">
              <w:rPr>
                <w:noProof/>
                <w:webHidden/>
              </w:rPr>
              <w:fldChar w:fldCharType="separate"/>
            </w:r>
            <w:r w:rsidR="00977596">
              <w:rPr>
                <w:noProof/>
                <w:webHidden/>
              </w:rPr>
              <w:t>14</w:t>
            </w:r>
            <w:r w:rsidR="007B328B">
              <w:rPr>
                <w:noProof/>
                <w:webHidden/>
              </w:rPr>
              <w:fldChar w:fldCharType="end"/>
            </w:r>
          </w:hyperlink>
        </w:p>
        <w:p w14:paraId="258C5A3E" w14:textId="2A3292C0" w:rsidR="007B328B" w:rsidRDefault="00F713DD">
          <w:pPr>
            <w:pStyle w:val="TDC3"/>
            <w:rPr>
              <w:rFonts w:asciiTheme="minorHAnsi" w:eastAsiaTheme="minorEastAsia" w:hAnsiTheme="minorHAnsi" w:cstheme="minorBidi"/>
              <w:noProof/>
              <w:color w:val="auto"/>
              <w:sz w:val="22"/>
              <w:szCs w:val="22"/>
              <w:lang w:eastAsia="es-ES"/>
            </w:rPr>
          </w:pPr>
          <w:hyperlink w:anchor="_Toc34134693" w:history="1">
            <w:r w:rsidR="007B328B" w:rsidRPr="005522BE">
              <w:rPr>
                <w:rStyle w:val="Hipervnculo"/>
                <w:noProof/>
                <w:lang w:val="en-GB"/>
              </w:rPr>
              <w:t>1.2.1 – Open access to scientific results</w:t>
            </w:r>
            <w:r w:rsidR="007B328B">
              <w:rPr>
                <w:noProof/>
                <w:webHidden/>
              </w:rPr>
              <w:tab/>
            </w:r>
            <w:r w:rsidR="007B328B">
              <w:rPr>
                <w:noProof/>
                <w:webHidden/>
              </w:rPr>
              <w:fldChar w:fldCharType="begin"/>
            </w:r>
            <w:r w:rsidR="007B328B">
              <w:rPr>
                <w:noProof/>
                <w:webHidden/>
              </w:rPr>
              <w:instrText xml:space="preserve"> PAGEREF _Toc34134693 \h </w:instrText>
            </w:r>
            <w:r w:rsidR="007B328B">
              <w:rPr>
                <w:noProof/>
                <w:webHidden/>
              </w:rPr>
            </w:r>
            <w:r w:rsidR="007B328B">
              <w:rPr>
                <w:noProof/>
                <w:webHidden/>
              </w:rPr>
              <w:fldChar w:fldCharType="separate"/>
            </w:r>
            <w:r w:rsidR="00977596">
              <w:rPr>
                <w:noProof/>
                <w:webHidden/>
              </w:rPr>
              <w:t>14</w:t>
            </w:r>
            <w:r w:rsidR="007B328B">
              <w:rPr>
                <w:noProof/>
                <w:webHidden/>
              </w:rPr>
              <w:fldChar w:fldCharType="end"/>
            </w:r>
          </w:hyperlink>
        </w:p>
        <w:p w14:paraId="146EB938" w14:textId="0A21B123" w:rsidR="007B328B" w:rsidRDefault="00F713DD">
          <w:pPr>
            <w:pStyle w:val="TDC3"/>
            <w:rPr>
              <w:rFonts w:asciiTheme="minorHAnsi" w:eastAsiaTheme="minorEastAsia" w:hAnsiTheme="minorHAnsi" w:cstheme="minorBidi"/>
              <w:noProof/>
              <w:color w:val="auto"/>
              <w:sz w:val="22"/>
              <w:szCs w:val="22"/>
              <w:lang w:eastAsia="es-ES"/>
            </w:rPr>
          </w:pPr>
          <w:hyperlink w:anchor="_Toc34134694" w:history="1">
            <w:r w:rsidR="007B328B" w:rsidRPr="005522BE">
              <w:rPr>
                <w:rStyle w:val="Hipervnculo"/>
                <w:noProof/>
                <w:lang w:val="en-GB"/>
              </w:rPr>
              <w:t>1.2.2 – Public domain data</w:t>
            </w:r>
            <w:r w:rsidR="007B328B">
              <w:rPr>
                <w:noProof/>
                <w:webHidden/>
              </w:rPr>
              <w:tab/>
            </w:r>
            <w:r w:rsidR="007B328B">
              <w:rPr>
                <w:noProof/>
                <w:webHidden/>
              </w:rPr>
              <w:fldChar w:fldCharType="begin"/>
            </w:r>
            <w:r w:rsidR="007B328B">
              <w:rPr>
                <w:noProof/>
                <w:webHidden/>
              </w:rPr>
              <w:instrText xml:space="preserve"> PAGEREF _Toc34134694 \h </w:instrText>
            </w:r>
            <w:r w:rsidR="007B328B">
              <w:rPr>
                <w:noProof/>
                <w:webHidden/>
              </w:rPr>
            </w:r>
            <w:r w:rsidR="007B328B">
              <w:rPr>
                <w:noProof/>
                <w:webHidden/>
              </w:rPr>
              <w:fldChar w:fldCharType="separate"/>
            </w:r>
            <w:r w:rsidR="00977596">
              <w:rPr>
                <w:noProof/>
                <w:webHidden/>
              </w:rPr>
              <w:t>16</w:t>
            </w:r>
            <w:r w:rsidR="007B328B">
              <w:rPr>
                <w:noProof/>
                <w:webHidden/>
              </w:rPr>
              <w:fldChar w:fldCharType="end"/>
            </w:r>
          </w:hyperlink>
        </w:p>
        <w:p w14:paraId="76C451C3" w14:textId="7F217B66" w:rsidR="007B328B" w:rsidRDefault="00F713DD">
          <w:pPr>
            <w:pStyle w:val="TDC3"/>
            <w:rPr>
              <w:rFonts w:asciiTheme="minorHAnsi" w:eastAsiaTheme="minorEastAsia" w:hAnsiTheme="minorHAnsi" w:cstheme="minorBidi"/>
              <w:noProof/>
              <w:color w:val="auto"/>
              <w:sz w:val="22"/>
              <w:szCs w:val="22"/>
              <w:lang w:eastAsia="es-ES"/>
            </w:rPr>
          </w:pPr>
          <w:hyperlink w:anchor="_Toc34134695" w:history="1">
            <w:r w:rsidR="007B328B" w:rsidRPr="005522BE">
              <w:rPr>
                <w:rStyle w:val="Hipervnculo"/>
                <w:noProof/>
                <w:lang w:val="en-GB"/>
              </w:rPr>
              <w:t>1.2.3 – Experimentation laboratories with data</w:t>
            </w:r>
            <w:r w:rsidR="007B328B">
              <w:rPr>
                <w:noProof/>
                <w:webHidden/>
              </w:rPr>
              <w:tab/>
            </w:r>
            <w:r w:rsidR="007B328B">
              <w:rPr>
                <w:noProof/>
                <w:webHidden/>
              </w:rPr>
              <w:fldChar w:fldCharType="begin"/>
            </w:r>
            <w:r w:rsidR="007B328B">
              <w:rPr>
                <w:noProof/>
                <w:webHidden/>
              </w:rPr>
              <w:instrText xml:space="preserve"> PAGEREF _Toc34134695 \h </w:instrText>
            </w:r>
            <w:r w:rsidR="007B328B">
              <w:rPr>
                <w:noProof/>
                <w:webHidden/>
              </w:rPr>
            </w:r>
            <w:r w:rsidR="007B328B">
              <w:rPr>
                <w:noProof/>
                <w:webHidden/>
              </w:rPr>
              <w:fldChar w:fldCharType="separate"/>
            </w:r>
            <w:r w:rsidR="00977596">
              <w:rPr>
                <w:noProof/>
                <w:webHidden/>
              </w:rPr>
              <w:t>17</w:t>
            </w:r>
            <w:r w:rsidR="007B328B">
              <w:rPr>
                <w:noProof/>
                <w:webHidden/>
              </w:rPr>
              <w:fldChar w:fldCharType="end"/>
            </w:r>
          </w:hyperlink>
        </w:p>
        <w:p w14:paraId="64819D6C" w14:textId="74321A65" w:rsidR="007B328B" w:rsidRDefault="00F713DD">
          <w:pPr>
            <w:pStyle w:val="TDC3"/>
            <w:rPr>
              <w:rFonts w:asciiTheme="minorHAnsi" w:eastAsiaTheme="minorEastAsia" w:hAnsiTheme="minorHAnsi" w:cstheme="minorBidi"/>
              <w:noProof/>
              <w:color w:val="auto"/>
              <w:sz w:val="22"/>
              <w:szCs w:val="22"/>
              <w:lang w:eastAsia="es-ES"/>
            </w:rPr>
          </w:pPr>
          <w:hyperlink w:anchor="_Toc34134696" w:history="1">
            <w:r w:rsidR="007B328B" w:rsidRPr="005522BE">
              <w:rPr>
                <w:rStyle w:val="Hipervnculo"/>
                <w:noProof/>
                <w:lang w:val="en-GB"/>
              </w:rPr>
              <w:t>1.2.4 – Collaborative Data Systems</w:t>
            </w:r>
            <w:r w:rsidR="007B328B">
              <w:rPr>
                <w:noProof/>
                <w:webHidden/>
              </w:rPr>
              <w:tab/>
            </w:r>
            <w:r w:rsidR="007B328B">
              <w:rPr>
                <w:noProof/>
                <w:webHidden/>
              </w:rPr>
              <w:fldChar w:fldCharType="begin"/>
            </w:r>
            <w:r w:rsidR="007B328B">
              <w:rPr>
                <w:noProof/>
                <w:webHidden/>
              </w:rPr>
              <w:instrText xml:space="preserve"> PAGEREF _Toc34134696 \h </w:instrText>
            </w:r>
            <w:r w:rsidR="007B328B">
              <w:rPr>
                <w:noProof/>
                <w:webHidden/>
              </w:rPr>
            </w:r>
            <w:r w:rsidR="007B328B">
              <w:rPr>
                <w:noProof/>
                <w:webHidden/>
              </w:rPr>
              <w:fldChar w:fldCharType="separate"/>
            </w:r>
            <w:r w:rsidR="00977596">
              <w:rPr>
                <w:noProof/>
                <w:webHidden/>
              </w:rPr>
              <w:t>18</w:t>
            </w:r>
            <w:r w:rsidR="007B328B">
              <w:rPr>
                <w:noProof/>
                <w:webHidden/>
              </w:rPr>
              <w:fldChar w:fldCharType="end"/>
            </w:r>
          </w:hyperlink>
        </w:p>
        <w:p w14:paraId="5B81348A" w14:textId="3E3E5AE9"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697" w:history="1">
            <w:r w:rsidR="007B328B" w:rsidRPr="005522BE">
              <w:rPr>
                <w:rStyle w:val="Hipervnculo"/>
                <w:noProof/>
              </w:rPr>
              <w:t>1.3 –DATA BY THE THIRD SECTOR</w:t>
            </w:r>
            <w:r w:rsidR="007B328B">
              <w:rPr>
                <w:noProof/>
                <w:webHidden/>
              </w:rPr>
              <w:tab/>
            </w:r>
            <w:r w:rsidR="007B328B">
              <w:rPr>
                <w:noProof/>
                <w:webHidden/>
              </w:rPr>
              <w:fldChar w:fldCharType="begin"/>
            </w:r>
            <w:r w:rsidR="007B328B">
              <w:rPr>
                <w:noProof/>
                <w:webHidden/>
              </w:rPr>
              <w:instrText xml:space="preserve"> PAGEREF _Toc34134697 \h </w:instrText>
            </w:r>
            <w:r w:rsidR="007B328B">
              <w:rPr>
                <w:noProof/>
                <w:webHidden/>
              </w:rPr>
            </w:r>
            <w:r w:rsidR="007B328B">
              <w:rPr>
                <w:noProof/>
                <w:webHidden/>
              </w:rPr>
              <w:fldChar w:fldCharType="separate"/>
            </w:r>
            <w:r w:rsidR="00977596">
              <w:rPr>
                <w:noProof/>
                <w:webHidden/>
              </w:rPr>
              <w:t>19</w:t>
            </w:r>
            <w:r w:rsidR="007B328B">
              <w:rPr>
                <w:noProof/>
                <w:webHidden/>
              </w:rPr>
              <w:fldChar w:fldCharType="end"/>
            </w:r>
          </w:hyperlink>
        </w:p>
        <w:p w14:paraId="06C97917" w14:textId="1DE47CA5" w:rsidR="007B328B" w:rsidRDefault="00F713DD">
          <w:pPr>
            <w:pStyle w:val="TDC3"/>
            <w:rPr>
              <w:rFonts w:asciiTheme="minorHAnsi" w:eastAsiaTheme="minorEastAsia" w:hAnsiTheme="minorHAnsi" w:cstheme="minorBidi"/>
              <w:noProof/>
              <w:color w:val="auto"/>
              <w:sz w:val="22"/>
              <w:szCs w:val="22"/>
              <w:lang w:eastAsia="es-ES"/>
            </w:rPr>
          </w:pPr>
          <w:hyperlink w:anchor="_Toc34134698" w:history="1">
            <w:r w:rsidR="007B328B" w:rsidRPr="005522BE">
              <w:rPr>
                <w:rStyle w:val="Hipervnculo"/>
                <w:noProof/>
                <w:lang w:val="en-GB"/>
              </w:rPr>
              <w:t>1.3.1 – Transparency in management</w:t>
            </w:r>
            <w:r w:rsidR="007B328B">
              <w:rPr>
                <w:noProof/>
                <w:webHidden/>
              </w:rPr>
              <w:tab/>
            </w:r>
            <w:r w:rsidR="007B328B">
              <w:rPr>
                <w:noProof/>
                <w:webHidden/>
              </w:rPr>
              <w:fldChar w:fldCharType="begin"/>
            </w:r>
            <w:r w:rsidR="007B328B">
              <w:rPr>
                <w:noProof/>
                <w:webHidden/>
              </w:rPr>
              <w:instrText xml:space="preserve"> PAGEREF _Toc34134698 \h </w:instrText>
            </w:r>
            <w:r w:rsidR="007B328B">
              <w:rPr>
                <w:noProof/>
                <w:webHidden/>
              </w:rPr>
            </w:r>
            <w:r w:rsidR="007B328B">
              <w:rPr>
                <w:noProof/>
                <w:webHidden/>
              </w:rPr>
              <w:fldChar w:fldCharType="separate"/>
            </w:r>
            <w:r w:rsidR="00977596">
              <w:rPr>
                <w:noProof/>
                <w:webHidden/>
              </w:rPr>
              <w:t>20</w:t>
            </w:r>
            <w:r w:rsidR="007B328B">
              <w:rPr>
                <w:noProof/>
                <w:webHidden/>
              </w:rPr>
              <w:fldChar w:fldCharType="end"/>
            </w:r>
          </w:hyperlink>
        </w:p>
        <w:p w14:paraId="7A370A7E" w14:textId="36CB5662" w:rsidR="007B328B" w:rsidRDefault="00F713DD">
          <w:pPr>
            <w:pStyle w:val="TDC3"/>
            <w:rPr>
              <w:rFonts w:asciiTheme="minorHAnsi" w:eastAsiaTheme="minorEastAsia" w:hAnsiTheme="minorHAnsi" w:cstheme="minorBidi"/>
              <w:noProof/>
              <w:color w:val="auto"/>
              <w:sz w:val="22"/>
              <w:szCs w:val="22"/>
              <w:lang w:eastAsia="es-ES"/>
            </w:rPr>
          </w:pPr>
          <w:hyperlink w:anchor="_Toc34134699" w:history="1">
            <w:r w:rsidR="007B328B" w:rsidRPr="005522BE">
              <w:rPr>
                <w:rStyle w:val="Hipervnculo"/>
                <w:noProof/>
                <w:lang w:val="en-GB"/>
              </w:rPr>
              <w:t>1.3.2 – Data to boost development</w:t>
            </w:r>
            <w:r w:rsidR="007B328B">
              <w:rPr>
                <w:noProof/>
                <w:webHidden/>
              </w:rPr>
              <w:tab/>
            </w:r>
            <w:r w:rsidR="007B328B">
              <w:rPr>
                <w:noProof/>
                <w:webHidden/>
              </w:rPr>
              <w:fldChar w:fldCharType="begin"/>
            </w:r>
            <w:r w:rsidR="007B328B">
              <w:rPr>
                <w:noProof/>
                <w:webHidden/>
              </w:rPr>
              <w:instrText xml:space="preserve"> PAGEREF _Toc34134699 \h </w:instrText>
            </w:r>
            <w:r w:rsidR="007B328B">
              <w:rPr>
                <w:noProof/>
                <w:webHidden/>
              </w:rPr>
            </w:r>
            <w:r w:rsidR="007B328B">
              <w:rPr>
                <w:noProof/>
                <w:webHidden/>
              </w:rPr>
              <w:fldChar w:fldCharType="separate"/>
            </w:r>
            <w:r w:rsidR="00977596">
              <w:rPr>
                <w:noProof/>
                <w:webHidden/>
              </w:rPr>
              <w:t>21</w:t>
            </w:r>
            <w:r w:rsidR="007B328B">
              <w:rPr>
                <w:noProof/>
                <w:webHidden/>
              </w:rPr>
              <w:fldChar w:fldCharType="end"/>
            </w:r>
          </w:hyperlink>
        </w:p>
        <w:p w14:paraId="2C9A8B3F" w14:textId="55C4AC50" w:rsidR="007B328B" w:rsidRDefault="00F713DD">
          <w:pPr>
            <w:pStyle w:val="TDC3"/>
            <w:rPr>
              <w:rFonts w:asciiTheme="minorHAnsi" w:eastAsiaTheme="minorEastAsia" w:hAnsiTheme="minorHAnsi" w:cstheme="minorBidi"/>
              <w:noProof/>
              <w:color w:val="auto"/>
              <w:sz w:val="22"/>
              <w:szCs w:val="22"/>
              <w:lang w:eastAsia="es-ES"/>
            </w:rPr>
          </w:pPr>
          <w:hyperlink w:anchor="_Toc34134700" w:history="1">
            <w:r w:rsidR="007B328B" w:rsidRPr="005522BE">
              <w:rPr>
                <w:rStyle w:val="Hipervnculo"/>
                <w:noProof/>
                <w:lang w:val="en-GB"/>
              </w:rPr>
              <w:t>1.3.3 – Data for multilateral collaboration</w:t>
            </w:r>
            <w:r w:rsidR="007B328B">
              <w:rPr>
                <w:noProof/>
                <w:webHidden/>
              </w:rPr>
              <w:tab/>
            </w:r>
            <w:r w:rsidR="007B328B">
              <w:rPr>
                <w:noProof/>
                <w:webHidden/>
              </w:rPr>
              <w:fldChar w:fldCharType="begin"/>
            </w:r>
            <w:r w:rsidR="007B328B">
              <w:rPr>
                <w:noProof/>
                <w:webHidden/>
              </w:rPr>
              <w:instrText xml:space="preserve"> PAGEREF _Toc34134700 \h </w:instrText>
            </w:r>
            <w:r w:rsidR="007B328B">
              <w:rPr>
                <w:noProof/>
                <w:webHidden/>
              </w:rPr>
            </w:r>
            <w:r w:rsidR="007B328B">
              <w:rPr>
                <w:noProof/>
                <w:webHidden/>
              </w:rPr>
              <w:fldChar w:fldCharType="separate"/>
            </w:r>
            <w:r w:rsidR="00977596">
              <w:rPr>
                <w:noProof/>
                <w:webHidden/>
              </w:rPr>
              <w:t>22</w:t>
            </w:r>
            <w:r w:rsidR="007B328B">
              <w:rPr>
                <w:noProof/>
                <w:webHidden/>
              </w:rPr>
              <w:fldChar w:fldCharType="end"/>
            </w:r>
          </w:hyperlink>
        </w:p>
        <w:p w14:paraId="3FDCB2F3" w14:textId="01B675B7"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701" w:history="1">
            <w:r w:rsidR="007B328B" w:rsidRPr="005522BE">
              <w:rPr>
                <w:rStyle w:val="Hipervnculo"/>
                <w:noProof/>
              </w:rPr>
              <w:t>1.4 - CITIZENS DATA</w:t>
            </w:r>
            <w:r w:rsidR="007B328B">
              <w:rPr>
                <w:noProof/>
                <w:webHidden/>
              </w:rPr>
              <w:tab/>
            </w:r>
            <w:r w:rsidR="007B328B">
              <w:rPr>
                <w:noProof/>
                <w:webHidden/>
              </w:rPr>
              <w:fldChar w:fldCharType="begin"/>
            </w:r>
            <w:r w:rsidR="007B328B">
              <w:rPr>
                <w:noProof/>
                <w:webHidden/>
              </w:rPr>
              <w:instrText xml:space="preserve"> PAGEREF _Toc34134701 \h </w:instrText>
            </w:r>
            <w:r w:rsidR="007B328B">
              <w:rPr>
                <w:noProof/>
                <w:webHidden/>
              </w:rPr>
            </w:r>
            <w:r w:rsidR="007B328B">
              <w:rPr>
                <w:noProof/>
                <w:webHidden/>
              </w:rPr>
              <w:fldChar w:fldCharType="separate"/>
            </w:r>
            <w:r w:rsidR="00977596">
              <w:rPr>
                <w:noProof/>
                <w:webHidden/>
              </w:rPr>
              <w:t>24</w:t>
            </w:r>
            <w:r w:rsidR="007B328B">
              <w:rPr>
                <w:noProof/>
                <w:webHidden/>
              </w:rPr>
              <w:fldChar w:fldCharType="end"/>
            </w:r>
          </w:hyperlink>
        </w:p>
        <w:p w14:paraId="10C9DD8F" w14:textId="43A8B833" w:rsidR="007B328B" w:rsidRDefault="00F713DD">
          <w:pPr>
            <w:pStyle w:val="TDC3"/>
            <w:rPr>
              <w:rFonts w:asciiTheme="minorHAnsi" w:eastAsiaTheme="minorEastAsia" w:hAnsiTheme="minorHAnsi" w:cstheme="minorBidi"/>
              <w:noProof/>
              <w:color w:val="auto"/>
              <w:sz w:val="22"/>
              <w:szCs w:val="22"/>
              <w:lang w:eastAsia="es-ES"/>
            </w:rPr>
          </w:pPr>
          <w:hyperlink w:anchor="_Toc34134702" w:history="1">
            <w:r w:rsidR="007B328B" w:rsidRPr="005522BE">
              <w:rPr>
                <w:rStyle w:val="Hipervnculo"/>
                <w:noProof/>
                <w:lang w:val="en-GB"/>
              </w:rPr>
              <w:t>1.4.1 – Self-management of personal data</w:t>
            </w:r>
            <w:r w:rsidR="007B328B">
              <w:rPr>
                <w:noProof/>
                <w:webHidden/>
              </w:rPr>
              <w:tab/>
            </w:r>
            <w:r w:rsidR="007B328B">
              <w:rPr>
                <w:noProof/>
                <w:webHidden/>
              </w:rPr>
              <w:fldChar w:fldCharType="begin"/>
            </w:r>
            <w:r w:rsidR="007B328B">
              <w:rPr>
                <w:noProof/>
                <w:webHidden/>
              </w:rPr>
              <w:instrText xml:space="preserve"> PAGEREF _Toc34134702 \h </w:instrText>
            </w:r>
            <w:r w:rsidR="007B328B">
              <w:rPr>
                <w:noProof/>
                <w:webHidden/>
              </w:rPr>
            </w:r>
            <w:r w:rsidR="007B328B">
              <w:rPr>
                <w:noProof/>
                <w:webHidden/>
              </w:rPr>
              <w:fldChar w:fldCharType="separate"/>
            </w:r>
            <w:r w:rsidR="00977596">
              <w:rPr>
                <w:noProof/>
                <w:webHidden/>
              </w:rPr>
              <w:t>25</w:t>
            </w:r>
            <w:r w:rsidR="007B328B">
              <w:rPr>
                <w:noProof/>
                <w:webHidden/>
              </w:rPr>
              <w:fldChar w:fldCharType="end"/>
            </w:r>
          </w:hyperlink>
        </w:p>
        <w:p w14:paraId="2B458327" w14:textId="7091A859" w:rsidR="007B328B" w:rsidRDefault="00F713DD">
          <w:pPr>
            <w:pStyle w:val="TDC3"/>
            <w:rPr>
              <w:rFonts w:asciiTheme="minorHAnsi" w:eastAsiaTheme="minorEastAsia" w:hAnsiTheme="minorHAnsi" w:cstheme="minorBidi"/>
              <w:noProof/>
              <w:color w:val="auto"/>
              <w:sz w:val="22"/>
              <w:szCs w:val="22"/>
              <w:lang w:eastAsia="es-ES"/>
            </w:rPr>
          </w:pPr>
          <w:hyperlink w:anchor="_Toc34134703" w:history="1">
            <w:r w:rsidR="007B328B" w:rsidRPr="005522BE">
              <w:rPr>
                <w:rStyle w:val="Hipervnculo"/>
                <w:noProof/>
                <w:lang w:val="en-GB"/>
              </w:rPr>
              <w:t>1.4.2 – Collaborative Data Repositories</w:t>
            </w:r>
            <w:r w:rsidR="007B328B">
              <w:rPr>
                <w:noProof/>
                <w:webHidden/>
              </w:rPr>
              <w:tab/>
            </w:r>
            <w:r w:rsidR="007B328B">
              <w:rPr>
                <w:noProof/>
                <w:webHidden/>
              </w:rPr>
              <w:fldChar w:fldCharType="begin"/>
            </w:r>
            <w:r w:rsidR="007B328B">
              <w:rPr>
                <w:noProof/>
                <w:webHidden/>
              </w:rPr>
              <w:instrText xml:space="preserve"> PAGEREF _Toc34134703 \h </w:instrText>
            </w:r>
            <w:r w:rsidR="007B328B">
              <w:rPr>
                <w:noProof/>
                <w:webHidden/>
              </w:rPr>
            </w:r>
            <w:r w:rsidR="007B328B">
              <w:rPr>
                <w:noProof/>
                <w:webHidden/>
              </w:rPr>
              <w:fldChar w:fldCharType="separate"/>
            </w:r>
            <w:r w:rsidR="00977596">
              <w:rPr>
                <w:noProof/>
                <w:webHidden/>
              </w:rPr>
              <w:t>26</w:t>
            </w:r>
            <w:r w:rsidR="007B328B">
              <w:rPr>
                <w:noProof/>
                <w:webHidden/>
              </w:rPr>
              <w:fldChar w:fldCharType="end"/>
            </w:r>
          </w:hyperlink>
        </w:p>
        <w:p w14:paraId="24C53E98" w14:textId="1DF5B573" w:rsidR="007B328B" w:rsidRDefault="00F713DD">
          <w:pPr>
            <w:pStyle w:val="TDC1"/>
            <w:rPr>
              <w:rFonts w:asciiTheme="minorHAnsi" w:eastAsiaTheme="minorEastAsia" w:hAnsiTheme="minorHAnsi" w:cstheme="minorBidi"/>
              <w:b w:val="0"/>
              <w:smallCaps w:val="0"/>
              <w:noProof/>
              <w:color w:val="auto"/>
              <w:sz w:val="22"/>
              <w:szCs w:val="22"/>
              <w:lang w:eastAsia="es-ES"/>
            </w:rPr>
          </w:pPr>
          <w:hyperlink w:anchor="_Toc34134704" w:history="1">
            <w:r w:rsidR="007B328B" w:rsidRPr="005522BE">
              <w:rPr>
                <w:rStyle w:val="Hipervnculo"/>
                <w:noProof/>
                <w:lang w:val="en-GB"/>
              </w:rPr>
              <w:t>PART II – Collaboration models between public and private entities</w:t>
            </w:r>
            <w:r w:rsidR="007B328B">
              <w:rPr>
                <w:noProof/>
                <w:webHidden/>
              </w:rPr>
              <w:tab/>
            </w:r>
            <w:r w:rsidR="007B328B">
              <w:rPr>
                <w:noProof/>
                <w:webHidden/>
              </w:rPr>
              <w:fldChar w:fldCharType="begin"/>
            </w:r>
            <w:r w:rsidR="007B328B">
              <w:rPr>
                <w:noProof/>
                <w:webHidden/>
              </w:rPr>
              <w:instrText xml:space="preserve"> PAGEREF _Toc34134704 \h </w:instrText>
            </w:r>
            <w:r w:rsidR="007B328B">
              <w:rPr>
                <w:noProof/>
                <w:webHidden/>
              </w:rPr>
            </w:r>
            <w:r w:rsidR="007B328B">
              <w:rPr>
                <w:noProof/>
                <w:webHidden/>
              </w:rPr>
              <w:fldChar w:fldCharType="separate"/>
            </w:r>
            <w:r w:rsidR="00977596">
              <w:rPr>
                <w:noProof/>
                <w:webHidden/>
              </w:rPr>
              <w:t>28</w:t>
            </w:r>
            <w:r w:rsidR="007B328B">
              <w:rPr>
                <w:noProof/>
                <w:webHidden/>
              </w:rPr>
              <w:fldChar w:fldCharType="end"/>
            </w:r>
          </w:hyperlink>
        </w:p>
        <w:p w14:paraId="3DFF1560" w14:textId="60E4FDCA"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705" w:history="1">
            <w:r w:rsidR="007B328B" w:rsidRPr="005522BE">
              <w:rPr>
                <w:rStyle w:val="Hipervnculo"/>
                <w:noProof/>
              </w:rPr>
              <w:t>2.1 – DATA SHARING AGREEMENTS</w:t>
            </w:r>
            <w:r w:rsidR="007B328B">
              <w:rPr>
                <w:noProof/>
                <w:webHidden/>
              </w:rPr>
              <w:tab/>
            </w:r>
            <w:r w:rsidR="007B328B">
              <w:rPr>
                <w:noProof/>
                <w:webHidden/>
              </w:rPr>
              <w:fldChar w:fldCharType="begin"/>
            </w:r>
            <w:r w:rsidR="007B328B">
              <w:rPr>
                <w:noProof/>
                <w:webHidden/>
              </w:rPr>
              <w:instrText xml:space="preserve"> PAGEREF _Toc34134705 \h </w:instrText>
            </w:r>
            <w:r w:rsidR="007B328B">
              <w:rPr>
                <w:noProof/>
                <w:webHidden/>
              </w:rPr>
            </w:r>
            <w:r w:rsidR="007B328B">
              <w:rPr>
                <w:noProof/>
                <w:webHidden/>
              </w:rPr>
              <w:fldChar w:fldCharType="separate"/>
            </w:r>
            <w:r w:rsidR="00977596">
              <w:rPr>
                <w:noProof/>
                <w:webHidden/>
              </w:rPr>
              <w:t>29</w:t>
            </w:r>
            <w:r w:rsidR="007B328B">
              <w:rPr>
                <w:noProof/>
                <w:webHidden/>
              </w:rPr>
              <w:fldChar w:fldCharType="end"/>
            </w:r>
          </w:hyperlink>
        </w:p>
        <w:p w14:paraId="7DE3DAA3" w14:textId="46E47942"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706" w:history="1">
            <w:r w:rsidR="007B328B" w:rsidRPr="005522BE">
              <w:rPr>
                <w:rStyle w:val="Hipervnculo"/>
                <w:noProof/>
              </w:rPr>
              <w:t>2.2 – DATA TRUSTS</w:t>
            </w:r>
            <w:r w:rsidR="007B328B">
              <w:rPr>
                <w:noProof/>
                <w:webHidden/>
              </w:rPr>
              <w:tab/>
            </w:r>
            <w:r w:rsidR="007B328B">
              <w:rPr>
                <w:noProof/>
                <w:webHidden/>
              </w:rPr>
              <w:fldChar w:fldCharType="begin"/>
            </w:r>
            <w:r w:rsidR="007B328B">
              <w:rPr>
                <w:noProof/>
                <w:webHidden/>
              </w:rPr>
              <w:instrText xml:space="preserve"> PAGEREF _Toc34134706 \h </w:instrText>
            </w:r>
            <w:r w:rsidR="007B328B">
              <w:rPr>
                <w:noProof/>
                <w:webHidden/>
              </w:rPr>
            </w:r>
            <w:r w:rsidR="007B328B">
              <w:rPr>
                <w:noProof/>
                <w:webHidden/>
              </w:rPr>
              <w:fldChar w:fldCharType="separate"/>
            </w:r>
            <w:r w:rsidR="00977596">
              <w:rPr>
                <w:noProof/>
                <w:webHidden/>
              </w:rPr>
              <w:t>30</w:t>
            </w:r>
            <w:r w:rsidR="007B328B">
              <w:rPr>
                <w:noProof/>
                <w:webHidden/>
              </w:rPr>
              <w:fldChar w:fldCharType="end"/>
            </w:r>
          </w:hyperlink>
        </w:p>
        <w:p w14:paraId="2947AC75" w14:textId="6EC4DE26"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707" w:history="1">
            <w:r w:rsidR="007B328B" w:rsidRPr="005522BE">
              <w:rPr>
                <w:rStyle w:val="Hipervnculo"/>
                <w:noProof/>
              </w:rPr>
              <w:t>2.3 – DATA COLLABORATIVES</w:t>
            </w:r>
            <w:r w:rsidR="007B328B">
              <w:rPr>
                <w:noProof/>
                <w:webHidden/>
              </w:rPr>
              <w:tab/>
            </w:r>
            <w:r w:rsidR="007B328B">
              <w:rPr>
                <w:noProof/>
                <w:webHidden/>
              </w:rPr>
              <w:fldChar w:fldCharType="begin"/>
            </w:r>
            <w:r w:rsidR="007B328B">
              <w:rPr>
                <w:noProof/>
                <w:webHidden/>
              </w:rPr>
              <w:instrText xml:space="preserve"> PAGEREF _Toc34134707 \h </w:instrText>
            </w:r>
            <w:r w:rsidR="007B328B">
              <w:rPr>
                <w:noProof/>
                <w:webHidden/>
              </w:rPr>
            </w:r>
            <w:r w:rsidR="007B328B">
              <w:rPr>
                <w:noProof/>
                <w:webHidden/>
              </w:rPr>
              <w:fldChar w:fldCharType="separate"/>
            </w:r>
            <w:r w:rsidR="00977596">
              <w:rPr>
                <w:noProof/>
                <w:webHidden/>
              </w:rPr>
              <w:t>31</w:t>
            </w:r>
            <w:r w:rsidR="007B328B">
              <w:rPr>
                <w:noProof/>
                <w:webHidden/>
              </w:rPr>
              <w:fldChar w:fldCharType="end"/>
            </w:r>
          </w:hyperlink>
        </w:p>
        <w:p w14:paraId="3DAFC71E" w14:textId="283AE7CE"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708" w:history="1">
            <w:r w:rsidR="007B328B" w:rsidRPr="005522BE">
              <w:rPr>
                <w:rStyle w:val="Hipervnculo"/>
                <w:noProof/>
              </w:rPr>
              <w:t>2.4 – DATA FELLOWSHIPS</w:t>
            </w:r>
            <w:r w:rsidR="007B328B">
              <w:rPr>
                <w:noProof/>
                <w:webHidden/>
              </w:rPr>
              <w:tab/>
            </w:r>
            <w:r w:rsidR="007B328B">
              <w:rPr>
                <w:noProof/>
                <w:webHidden/>
              </w:rPr>
              <w:fldChar w:fldCharType="begin"/>
            </w:r>
            <w:r w:rsidR="007B328B">
              <w:rPr>
                <w:noProof/>
                <w:webHidden/>
              </w:rPr>
              <w:instrText xml:space="preserve"> PAGEREF _Toc34134708 \h </w:instrText>
            </w:r>
            <w:r w:rsidR="007B328B">
              <w:rPr>
                <w:noProof/>
                <w:webHidden/>
              </w:rPr>
            </w:r>
            <w:r w:rsidR="007B328B">
              <w:rPr>
                <w:noProof/>
                <w:webHidden/>
              </w:rPr>
              <w:fldChar w:fldCharType="separate"/>
            </w:r>
            <w:r w:rsidR="00977596">
              <w:rPr>
                <w:noProof/>
                <w:webHidden/>
              </w:rPr>
              <w:t>32</w:t>
            </w:r>
            <w:r w:rsidR="007B328B">
              <w:rPr>
                <w:noProof/>
                <w:webHidden/>
              </w:rPr>
              <w:fldChar w:fldCharType="end"/>
            </w:r>
          </w:hyperlink>
        </w:p>
        <w:p w14:paraId="1B768FBC" w14:textId="60A1F25C"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709" w:history="1">
            <w:r w:rsidR="007B328B" w:rsidRPr="005522BE">
              <w:rPr>
                <w:rStyle w:val="Hipervnculo"/>
                <w:noProof/>
              </w:rPr>
              <w:t>2.5 – COOPERATIVES AND DATA COMMUNITIES</w:t>
            </w:r>
            <w:r w:rsidR="007B328B">
              <w:rPr>
                <w:noProof/>
                <w:webHidden/>
              </w:rPr>
              <w:tab/>
            </w:r>
            <w:r w:rsidR="007B328B">
              <w:rPr>
                <w:noProof/>
                <w:webHidden/>
              </w:rPr>
              <w:fldChar w:fldCharType="begin"/>
            </w:r>
            <w:r w:rsidR="007B328B">
              <w:rPr>
                <w:noProof/>
                <w:webHidden/>
              </w:rPr>
              <w:instrText xml:space="preserve"> PAGEREF _Toc34134709 \h </w:instrText>
            </w:r>
            <w:r w:rsidR="007B328B">
              <w:rPr>
                <w:noProof/>
                <w:webHidden/>
              </w:rPr>
            </w:r>
            <w:r w:rsidR="007B328B">
              <w:rPr>
                <w:noProof/>
                <w:webHidden/>
              </w:rPr>
              <w:fldChar w:fldCharType="separate"/>
            </w:r>
            <w:r w:rsidR="00977596">
              <w:rPr>
                <w:noProof/>
                <w:webHidden/>
              </w:rPr>
              <w:t>33</w:t>
            </w:r>
            <w:r w:rsidR="007B328B">
              <w:rPr>
                <w:noProof/>
                <w:webHidden/>
              </w:rPr>
              <w:fldChar w:fldCharType="end"/>
            </w:r>
          </w:hyperlink>
        </w:p>
        <w:p w14:paraId="2E74DDDD" w14:textId="647698A2"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710" w:history="1">
            <w:r w:rsidR="007B328B" w:rsidRPr="005522BE">
              <w:rPr>
                <w:rStyle w:val="Hipervnculo"/>
                <w:noProof/>
              </w:rPr>
              <w:t>2.6 – CHALLENGES AND COMPETITIONS</w:t>
            </w:r>
            <w:r w:rsidR="007B328B">
              <w:rPr>
                <w:noProof/>
                <w:webHidden/>
              </w:rPr>
              <w:tab/>
            </w:r>
            <w:r w:rsidR="007B328B">
              <w:rPr>
                <w:noProof/>
                <w:webHidden/>
              </w:rPr>
              <w:fldChar w:fldCharType="begin"/>
            </w:r>
            <w:r w:rsidR="007B328B">
              <w:rPr>
                <w:noProof/>
                <w:webHidden/>
              </w:rPr>
              <w:instrText xml:space="preserve"> PAGEREF _Toc34134710 \h </w:instrText>
            </w:r>
            <w:r w:rsidR="007B328B">
              <w:rPr>
                <w:noProof/>
                <w:webHidden/>
              </w:rPr>
            </w:r>
            <w:r w:rsidR="007B328B">
              <w:rPr>
                <w:noProof/>
                <w:webHidden/>
              </w:rPr>
              <w:fldChar w:fldCharType="separate"/>
            </w:r>
            <w:r w:rsidR="00977596">
              <w:rPr>
                <w:noProof/>
                <w:webHidden/>
              </w:rPr>
              <w:t>34</w:t>
            </w:r>
            <w:r w:rsidR="007B328B">
              <w:rPr>
                <w:noProof/>
                <w:webHidden/>
              </w:rPr>
              <w:fldChar w:fldCharType="end"/>
            </w:r>
          </w:hyperlink>
        </w:p>
        <w:p w14:paraId="54703476" w14:textId="51B3903B" w:rsidR="007B328B" w:rsidRDefault="00F713DD">
          <w:pPr>
            <w:pStyle w:val="TDC2"/>
            <w:rPr>
              <w:rFonts w:asciiTheme="minorHAnsi" w:eastAsiaTheme="minorEastAsia" w:hAnsiTheme="minorHAnsi" w:cstheme="minorBidi"/>
              <w:b w:val="0"/>
              <w:noProof/>
              <w:color w:val="auto"/>
              <w:sz w:val="22"/>
              <w:szCs w:val="22"/>
              <w:lang w:val="es-ES" w:eastAsia="es-ES"/>
            </w:rPr>
          </w:pPr>
          <w:hyperlink w:anchor="_Toc34134711" w:history="1">
            <w:r w:rsidR="007B328B" w:rsidRPr="005522BE">
              <w:rPr>
                <w:rStyle w:val="Hipervnculo"/>
                <w:noProof/>
              </w:rPr>
              <w:t>2.7 – INCUBATORS AND ACELERATORS</w:t>
            </w:r>
            <w:r w:rsidR="007B328B">
              <w:rPr>
                <w:noProof/>
                <w:webHidden/>
              </w:rPr>
              <w:tab/>
            </w:r>
            <w:r w:rsidR="007B328B">
              <w:rPr>
                <w:noProof/>
                <w:webHidden/>
              </w:rPr>
              <w:fldChar w:fldCharType="begin"/>
            </w:r>
            <w:r w:rsidR="007B328B">
              <w:rPr>
                <w:noProof/>
                <w:webHidden/>
              </w:rPr>
              <w:instrText xml:space="preserve"> PAGEREF _Toc34134711 \h </w:instrText>
            </w:r>
            <w:r w:rsidR="007B328B">
              <w:rPr>
                <w:noProof/>
                <w:webHidden/>
              </w:rPr>
            </w:r>
            <w:r w:rsidR="007B328B">
              <w:rPr>
                <w:noProof/>
                <w:webHidden/>
              </w:rPr>
              <w:fldChar w:fldCharType="separate"/>
            </w:r>
            <w:r w:rsidR="00977596">
              <w:rPr>
                <w:noProof/>
                <w:webHidden/>
              </w:rPr>
              <w:t>35</w:t>
            </w:r>
            <w:r w:rsidR="007B328B">
              <w:rPr>
                <w:noProof/>
                <w:webHidden/>
              </w:rPr>
              <w:fldChar w:fldCharType="end"/>
            </w:r>
          </w:hyperlink>
        </w:p>
        <w:p w14:paraId="6F997026" w14:textId="52B59EA7" w:rsidR="007B328B" w:rsidRDefault="00F713DD">
          <w:pPr>
            <w:pStyle w:val="TDC1"/>
            <w:rPr>
              <w:rFonts w:asciiTheme="minorHAnsi" w:eastAsiaTheme="minorEastAsia" w:hAnsiTheme="minorHAnsi" w:cstheme="minorBidi"/>
              <w:b w:val="0"/>
              <w:smallCaps w:val="0"/>
              <w:noProof/>
              <w:color w:val="auto"/>
              <w:sz w:val="22"/>
              <w:szCs w:val="22"/>
              <w:lang w:eastAsia="es-ES"/>
            </w:rPr>
          </w:pPr>
          <w:hyperlink w:anchor="_Toc34134712" w:history="1">
            <w:r w:rsidR="007B328B" w:rsidRPr="005522BE">
              <w:rPr>
                <w:rStyle w:val="Hipervnculo"/>
                <w:noProof/>
                <w:lang w:val="en-GB"/>
              </w:rPr>
              <w:t>Conclusions</w:t>
            </w:r>
            <w:r w:rsidR="007B328B">
              <w:rPr>
                <w:noProof/>
                <w:webHidden/>
              </w:rPr>
              <w:tab/>
            </w:r>
            <w:r w:rsidR="007B328B">
              <w:rPr>
                <w:noProof/>
                <w:webHidden/>
              </w:rPr>
              <w:fldChar w:fldCharType="begin"/>
            </w:r>
            <w:r w:rsidR="007B328B">
              <w:rPr>
                <w:noProof/>
                <w:webHidden/>
              </w:rPr>
              <w:instrText xml:space="preserve"> PAGEREF _Toc34134712 \h </w:instrText>
            </w:r>
            <w:r w:rsidR="007B328B">
              <w:rPr>
                <w:noProof/>
                <w:webHidden/>
              </w:rPr>
            </w:r>
            <w:r w:rsidR="007B328B">
              <w:rPr>
                <w:noProof/>
                <w:webHidden/>
              </w:rPr>
              <w:fldChar w:fldCharType="separate"/>
            </w:r>
            <w:r w:rsidR="00977596">
              <w:rPr>
                <w:noProof/>
                <w:webHidden/>
              </w:rPr>
              <w:t>37</w:t>
            </w:r>
            <w:r w:rsidR="007B328B">
              <w:rPr>
                <w:noProof/>
                <w:webHidden/>
              </w:rPr>
              <w:fldChar w:fldCharType="end"/>
            </w:r>
          </w:hyperlink>
        </w:p>
        <w:p w14:paraId="6C706779" w14:textId="7E5946CB" w:rsidR="007B328B" w:rsidRDefault="00F713DD">
          <w:pPr>
            <w:pStyle w:val="TDC1"/>
            <w:rPr>
              <w:rFonts w:asciiTheme="minorHAnsi" w:eastAsiaTheme="minorEastAsia" w:hAnsiTheme="minorHAnsi" w:cstheme="minorBidi"/>
              <w:b w:val="0"/>
              <w:smallCaps w:val="0"/>
              <w:noProof/>
              <w:color w:val="auto"/>
              <w:sz w:val="22"/>
              <w:szCs w:val="22"/>
              <w:lang w:eastAsia="es-ES"/>
            </w:rPr>
          </w:pPr>
          <w:hyperlink w:anchor="_Toc34134713" w:history="1">
            <w:r w:rsidR="007B328B" w:rsidRPr="005522BE">
              <w:rPr>
                <w:rStyle w:val="Hipervnculo"/>
                <w:noProof/>
                <w:lang w:val="en-US"/>
              </w:rPr>
              <w:t>References</w:t>
            </w:r>
            <w:r w:rsidR="007B328B">
              <w:rPr>
                <w:noProof/>
                <w:webHidden/>
              </w:rPr>
              <w:tab/>
            </w:r>
            <w:r w:rsidR="007B328B">
              <w:rPr>
                <w:noProof/>
                <w:webHidden/>
              </w:rPr>
              <w:fldChar w:fldCharType="begin"/>
            </w:r>
            <w:r w:rsidR="007B328B">
              <w:rPr>
                <w:noProof/>
                <w:webHidden/>
              </w:rPr>
              <w:instrText xml:space="preserve"> PAGEREF _Toc34134713 \h </w:instrText>
            </w:r>
            <w:r w:rsidR="007B328B">
              <w:rPr>
                <w:noProof/>
                <w:webHidden/>
              </w:rPr>
            </w:r>
            <w:r w:rsidR="007B328B">
              <w:rPr>
                <w:noProof/>
                <w:webHidden/>
              </w:rPr>
              <w:fldChar w:fldCharType="separate"/>
            </w:r>
            <w:r w:rsidR="00977596">
              <w:rPr>
                <w:noProof/>
                <w:webHidden/>
              </w:rPr>
              <w:t>39</w:t>
            </w:r>
            <w:r w:rsidR="007B328B">
              <w:rPr>
                <w:noProof/>
                <w:webHidden/>
              </w:rPr>
              <w:fldChar w:fldCharType="end"/>
            </w:r>
          </w:hyperlink>
        </w:p>
        <w:p w14:paraId="1B47713E" w14:textId="54B92856" w:rsidR="00735325" w:rsidRDefault="000013DE">
          <w:pPr>
            <w:pStyle w:val="TDC1"/>
            <w:tabs>
              <w:tab w:val="clear" w:pos="660"/>
              <w:tab w:val="clear" w:pos="9072"/>
              <w:tab w:val="right" w:leader="dot" w:pos="9078"/>
            </w:tabs>
          </w:pPr>
          <w:r w:rsidRPr="00B7528C">
            <w:fldChar w:fldCharType="end"/>
          </w:r>
        </w:p>
        <w:p w14:paraId="1ED026A6" w14:textId="77777777" w:rsidR="00735325" w:rsidRDefault="00F713DD">
          <w:pPr>
            <w:sectPr w:rsidR="00735325">
              <w:type w:val="continuous"/>
              <w:pgSz w:w="11906" w:h="16838"/>
              <w:pgMar w:top="1950" w:right="1412" w:bottom="1877" w:left="1418" w:header="227" w:footer="0" w:gutter="0"/>
              <w:cols w:space="720"/>
              <w:formProt w:val="0"/>
              <w:docGrid w:linePitch="360"/>
            </w:sectPr>
          </w:pPr>
        </w:p>
      </w:sdtContent>
    </w:sdt>
    <w:p w14:paraId="56FD143D" w14:textId="2385ED50" w:rsidR="00735325" w:rsidRDefault="00735325" w:rsidP="00EF2242">
      <w:pPr>
        <w:ind w:right="1984"/>
      </w:pPr>
    </w:p>
    <w:p w14:paraId="6E50A126" w14:textId="77777777" w:rsidR="00EF2242" w:rsidRDefault="00EF2242" w:rsidP="007B2A4D">
      <w:pPr>
        <w:ind w:right="1984"/>
        <w:rPr>
          <w:b/>
          <w:sz w:val="28"/>
          <w:szCs w:val="22"/>
        </w:rPr>
      </w:pPr>
    </w:p>
    <w:p w14:paraId="11CFEFFE" w14:textId="77777777" w:rsidR="00B7528C" w:rsidRDefault="00731FC7">
      <w:pPr>
        <w:ind w:left="1843" w:right="1984"/>
        <w:jc w:val="center"/>
        <w:rPr>
          <w:b/>
          <w:sz w:val="28"/>
          <w:szCs w:val="22"/>
        </w:rPr>
      </w:pPr>
      <w:r>
        <w:rPr>
          <w:b/>
          <w:sz w:val="28"/>
          <w:szCs w:val="22"/>
        </w:rPr>
        <w:br w:type="column"/>
      </w:r>
    </w:p>
    <w:p w14:paraId="5A0C39C6" w14:textId="77777777" w:rsidR="00B7528C" w:rsidRDefault="00B7528C">
      <w:pPr>
        <w:ind w:left="1843" w:right="1984"/>
        <w:jc w:val="center"/>
        <w:rPr>
          <w:b/>
          <w:sz w:val="28"/>
          <w:szCs w:val="22"/>
        </w:rPr>
      </w:pPr>
    </w:p>
    <w:p w14:paraId="45FE5508" w14:textId="638805A1" w:rsidR="00735325" w:rsidRPr="00806393" w:rsidRDefault="00806393">
      <w:pPr>
        <w:ind w:left="1843" w:right="1984"/>
        <w:jc w:val="center"/>
        <w:rPr>
          <w:b/>
          <w:sz w:val="28"/>
          <w:szCs w:val="22"/>
          <w:lang w:val="en-GB"/>
        </w:rPr>
      </w:pPr>
      <w:r w:rsidRPr="0009687D">
        <w:rPr>
          <w:b/>
          <w:sz w:val="28"/>
          <w:szCs w:val="22"/>
          <w:lang w:val="en-GB"/>
        </w:rPr>
        <w:t xml:space="preserve">Content prepared by </w:t>
      </w:r>
      <w:r w:rsidR="00526D83" w:rsidRPr="00806393">
        <w:rPr>
          <w:b/>
          <w:sz w:val="28"/>
          <w:szCs w:val="22"/>
          <w:lang w:val="en-GB"/>
        </w:rPr>
        <w:t>Carlos Iglesias</w:t>
      </w:r>
      <w:r w:rsidR="00F84120" w:rsidRPr="00806393">
        <w:rPr>
          <w:b/>
          <w:sz w:val="28"/>
          <w:szCs w:val="22"/>
          <w:lang w:val="en-GB"/>
        </w:rPr>
        <w:t>,</w:t>
      </w:r>
      <w:r w:rsidR="000013DE" w:rsidRPr="00806393">
        <w:rPr>
          <w:b/>
          <w:sz w:val="28"/>
          <w:szCs w:val="22"/>
          <w:lang w:val="en-GB"/>
        </w:rPr>
        <w:t xml:space="preserve"> </w:t>
      </w:r>
      <w:r w:rsidR="00526D83" w:rsidRPr="00806393">
        <w:rPr>
          <w:b/>
          <w:sz w:val="28"/>
          <w:szCs w:val="22"/>
          <w:lang w:val="en-GB"/>
        </w:rPr>
        <w:t xml:space="preserve">Open data Researcher </w:t>
      </w:r>
      <w:r w:rsidRPr="00806393">
        <w:rPr>
          <w:b/>
          <w:sz w:val="28"/>
          <w:szCs w:val="22"/>
          <w:lang w:val="en-GB"/>
        </w:rPr>
        <w:t>a</w:t>
      </w:r>
      <w:r>
        <w:rPr>
          <w:b/>
          <w:sz w:val="28"/>
          <w:szCs w:val="22"/>
          <w:lang w:val="en-GB"/>
        </w:rPr>
        <w:t>nd</w:t>
      </w:r>
      <w:r w:rsidR="00526D83" w:rsidRPr="00806393">
        <w:rPr>
          <w:b/>
          <w:sz w:val="28"/>
          <w:szCs w:val="22"/>
          <w:lang w:val="en-GB"/>
        </w:rPr>
        <w:t xml:space="preserve"> consult</w:t>
      </w:r>
      <w:r>
        <w:rPr>
          <w:b/>
          <w:sz w:val="28"/>
          <w:szCs w:val="22"/>
          <w:lang w:val="en-GB"/>
        </w:rPr>
        <w:t>ant</w:t>
      </w:r>
    </w:p>
    <w:p w14:paraId="23580036" w14:textId="77777777" w:rsidR="00806393" w:rsidRPr="00FD6515" w:rsidRDefault="00806393" w:rsidP="00806393">
      <w:pPr>
        <w:ind w:left="1843" w:right="1984"/>
        <w:rPr>
          <w:i/>
          <w:sz w:val="22"/>
          <w:szCs w:val="22"/>
          <w:lang w:val="en-GB"/>
        </w:rPr>
      </w:pPr>
      <w:r w:rsidRPr="00FD6515">
        <w:rPr>
          <w:i/>
          <w:sz w:val="22"/>
          <w:szCs w:val="22"/>
          <w:lang w:val="en-GB"/>
        </w:rPr>
        <w:t xml:space="preserve">This study has been developed within the framework of the Aporta Initiative, developed by the </w:t>
      </w:r>
      <w:r w:rsidRPr="002F22CC">
        <w:rPr>
          <w:i/>
          <w:sz w:val="22"/>
          <w:szCs w:val="22"/>
          <w:lang w:val="en-GB"/>
        </w:rPr>
        <w:t>Ministry of Economy and Digital Transformation</w:t>
      </w:r>
      <w:r w:rsidRPr="00FD6515">
        <w:rPr>
          <w:i/>
          <w:sz w:val="22"/>
          <w:szCs w:val="22"/>
          <w:lang w:val="en-GB"/>
        </w:rPr>
        <w:t xml:space="preserve">, through the Public Business Entity Red.es. The contents and points of view reflected in this publication are the sole responsibility of the author. The Aporta team does not guarantee the accuracy of the data included in the study. The use of this document implies the express and full acceptance of the general reuse conditions referred to in the legal notice shown at: </w:t>
      </w:r>
      <w:hyperlink r:id="rId12" w:history="1">
        <w:r w:rsidRPr="00343E31">
          <w:rPr>
            <w:rStyle w:val="Hipervnculo"/>
            <w:i/>
            <w:color w:val="7030A0"/>
            <w:lang w:val="en-GB"/>
          </w:rPr>
          <w:t>http://datos.gob.es/es/aviso-legal</w:t>
        </w:r>
      </w:hyperlink>
    </w:p>
    <w:p w14:paraId="18962ABC" w14:textId="020CEC71" w:rsidR="007B2A4D" w:rsidRPr="00806393" w:rsidRDefault="000013DE" w:rsidP="007D2D51">
      <w:pPr>
        <w:ind w:left="1843" w:right="1984"/>
        <w:jc w:val="center"/>
        <w:rPr>
          <w:rFonts w:eastAsiaTheme="majorEastAsia" w:cs="Times New Roman (Títulos en alf"/>
          <w:b/>
          <w:bCs/>
          <w:smallCaps/>
          <w:color w:val="7030A0"/>
          <w:sz w:val="52"/>
          <w:szCs w:val="52"/>
          <w:lang w:val="en-GB"/>
        </w:rPr>
      </w:pPr>
      <w:r w:rsidRPr="00806393">
        <w:rPr>
          <w:lang w:val="en-GB"/>
        </w:rPr>
        <w:br w:type="page"/>
      </w:r>
    </w:p>
    <w:p w14:paraId="09CE28DA" w14:textId="056FB00B" w:rsidR="00735325" w:rsidRPr="008E346C" w:rsidRDefault="000013DE" w:rsidP="00B7528C">
      <w:pPr>
        <w:pStyle w:val="Ttulo1"/>
        <w:ind w:left="0"/>
        <w:rPr>
          <w:lang w:val="en-GB"/>
        </w:rPr>
      </w:pPr>
      <w:bookmarkStart w:id="1" w:name="_Toc20308448"/>
      <w:bookmarkStart w:id="2" w:name="_Toc34134684"/>
      <w:r w:rsidRPr="008E346C">
        <w:rPr>
          <w:lang w:val="en-GB"/>
        </w:rPr>
        <w:lastRenderedPageBreak/>
        <w:t>Introduc</w:t>
      </w:r>
      <w:bookmarkEnd w:id="1"/>
      <w:r w:rsidR="009617D1" w:rsidRPr="008E346C">
        <w:rPr>
          <w:lang w:val="en-GB"/>
        </w:rPr>
        <w:t>tion</w:t>
      </w:r>
      <w:bookmarkEnd w:id="2"/>
      <w:r w:rsidRPr="008E346C">
        <w:rPr>
          <w:lang w:val="en-GB"/>
        </w:rPr>
        <w:t xml:space="preserve"> </w:t>
      </w:r>
    </w:p>
    <w:p w14:paraId="52F29D0C" w14:textId="4EFCA75F" w:rsidR="008E346C" w:rsidRPr="007B328B" w:rsidRDefault="008E346C" w:rsidP="00526D83">
      <w:pPr>
        <w:rPr>
          <w:lang w:val="en-GB"/>
        </w:rPr>
      </w:pPr>
      <w:r w:rsidRPr="008E346C">
        <w:rPr>
          <w:lang w:val="en-GB"/>
        </w:rPr>
        <w:t>Since its origins</w:t>
      </w:r>
      <w:r>
        <w:rPr>
          <w:lang w:val="en-GB"/>
        </w:rPr>
        <w:t>,</w:t>
      </w:r>
      <w:r w:rsidRPr="008E346C">
        <w:rPr>
          <w:lang w:val="en-GB"/>
        </w:rPr>
        <w:t xml:space="preserve"> the movement of open data has been focused on the opening of public sector data, and even the </w:t>
      </w:r>
      <w:hyperlink r:id="rId13" w:history="1">
        <w:r w:rsidRPr="00433274">
          <w:rPr>
            <w:color w:val="7030A0"/>
            <w:u w:val="single"/>
            <w:lang w:val="en-GB"/>
          </w:rPr>
          <w:t xml:space="preserve">original declaration of the </w:t>
        </w:r>
        <w:r w:rsidR="009F0D6A" w:rsidRPr="00433274">
          <w:rPr>
            <w:color w:val="7030A0"/>
            <w:u w:val="single"/>
            <w:lang w:val="en-GB"/>
          </w:rPr>
          <w:t xml:space="preserve">open data </w:t>
        </w:r>
        <w:r w:rsidRPr="00433274">
          <w:rPr>
            <w:color w:val="7030A0"/>
            <w:u w:val="single"/>
            <w:lang w:val="en-GB"/>
          </w:rPr>
          <w:t>principles</w:t>
        </w:r>
      </w:hyperlink>
      <w:r w:rsidRPr="008E346C">
        <w:rPr>
          <w:lang w:val="en-GB"/>
        </w:rPr>
        <w:t xml:space="preserve"> makes only reference to data from public administrations (</w:t>
      </w:r>
      <w:r w:rsidRPr="009F0D6A">
        <w:rPr>
          <w:b/>
          <w:lang w:val="en-GB"/>
        </w:rPr>
        <w:t>open government data</w:t>
      </w:r>
      <w:r w:rsidRPr="008E346C">
        <w:rPr>
          <w:lang w:val="en-GB"/>
        </w:rPr>
        <w:t xml:space="preserve"> - OGD). However, this perception has evolved and today it is more common to talk about open data in a more general scope that includes all sectors, as evidenced by the </w:t>
      </w:r>
      <w:hyperlink r:id="rId14" w:history="1">
        <w:r w:rsidRPr="007B328B">
          <w:rPr>
            <w:color w:val="7030A0"/>
            <w:u w:val="single"/>
            <w:lang w:val="en-GB"/>
          </w:rPr>
          <w:t>declaration of open data principles promoted most recently by the Open Data Charter</w:t>
        </w:r>
      </w:hyperlink>
      <w:r w:rsidRPr="008E346C">
        <w:rPr>
          <w:lang w:val="en-GB"/>
        </w:rPr>
        <w:t>, whose formulation is perfectly applicable to any sector.</w:t>
      </w:r>
    </w:p>
    <w:p w14:paraId="78CBA500" w14:textId="4DADB643" w:rsidR="009F0D6A" w:rsidRPr="009F0D6A" w:rsidRDefault="009F0D6A" w:rsidP="00526D83">
      <w:pPr>
        <w:pBdr>
          <w:top w:val="nil"/>
          <w:left w:val="nil"/>
          <w:bottom w:val="nil"/>
          <w:right w:val="nil"/>
          <w:between w:val="nil"/>
        </w:pBdr>
        <w:spacing w:after="0"/>
        <w:rPr>
          <w:color w:val="000000"/>
          <w:lang w:val="en-GB"/>
        </w:rPr>
      </w:pPr>
      <w:r w:rsidRPr="009F0D6A">
        <w:rPr>
          <w:color w:val="000000"/>
          <w:lang w:val="en-GB"/>
        </w:rPr>
        <w:t xml:space="preserve">On the other hand, although we currently have a more than respectable and valuable amount of data available in open format from the administration, there are also some </w:t>
      </w:r>
      <w:hyperlink r:id="rId15" w:history="1">
        <w:r w:rsidRPr="007B328B">
          <w:rPr>
            <w:color w:val="7030A0"/>
            <w:u w:val="single"/>
            <w:lang w:val="en-GB"/>
          </w:rPr>
          <w:t>limitations regarding the governance and sustainability models of public data</w:t>
        </w:r>
      </w:hyperlink>
      <w:r w:rsidRPr="009F0D6A">
        <w:rPr>
          <w:color w:val="000000"/>
          <w:lang w:val="en-GB"/>
        </w:rPr>
        <w:t xml:space="preserve"> that, together to the pending challenges of digital transformation in the sector, are somewhat limiting the final availability of data. In this context, </w:t>
      </w:r>
      <w:r w:rsidRPr="009F0D6A">
        <w:rPr>
          <w:b/>
          <w:color w:val="000000"/>
          <w:lang w:val="en-GB"/>
        </w:rPr>
        <w:t>other data producing sectors</w:t>
      </w:r>
      <w:r w:rsidRPr="009F0D6A">
        <w:rPr>
          <w:color w:val="000000"/>
          <w:lang w:val="en-GB"/>
        </w:rPr>
        <w:t xml:space="preserve"> also emerge as alternative or complementary sources to the hundreds of open data catalogues that governments have been publishing in recent years. These new data come from other publishers apart from the public sector - such as the private sector, the academic sector or the so-called third sector</w:t>
      </w:r>
      <w:r w:rsidR="0095582D">
        <w:rPr>
          <w:color w:val="000000"/>
          <w:lang w:val="en-GB"/>
        </w:rPr>
        <w:t xml:space="preserve"> </w:t>
      </w:r>
      <w:r w:rsidRPr="009F0D6A">
        <w:rPr>
          <w:color w:val="000000"/>
          <w:lang w:val="en-GB"/>
        </w:rPr>
        <w:t>-</w:t>
      </w:r>
      <w:r>
        <w:rPr>
          <w:color w:val="000000"/>
          <w:lang w:val="en-GB"/>
        </w:rPr>
        <w:t>,</w:t>
      </w:r>
      <w:r w:rsidRPr="009F0D6A">
        <w:rPr>
          <w:color w:val="000000"/>
          <w:lang w:val="en-GB"/>
        </w:rPr>
        <w:t xml:space="preserve"> all of them driven by different motivations and the possible benefits. </w:t>
      </w:r>
      <w:r w:rsidR="00F03478">
        <w:rPr>
          <w:color w:val="000000"/>
          <w:lang w:val="en-GB"/>
        </w:rPr>
        <w:t>N</w:t>
      </w:r>
      <w:r w:rsidR="00F03478" w:rsidRPr="009F0D6A">
        <w:rPr>
          <w:color w:val="000000"/>
          <w:lang w:val="en-GB"/>
        </w:rPr>
        <w:t>owadays</w:t>
      </w:r>
      <w:r w:rsidR="00F03478">
        <w:rPr>
          <w:color w:val="000000"/>
          <w:lang w:val="en-GB"/>
        </w:rPr>
        <w:t>, e</w:t>
      </w:r>
      <w:r w:rsidRPr="009F0D6A">
        <w:rPr>
          <w:color w:val="000000"/>
          <w:lang w:val="en-GB"/>
        </w:rPr>
        <w:t>ven the citizen</w:t>
      </w:r>
      <w:r>
        <w:rPr>
          <w:color w:val="000000"/>
          <w:lang w:val="en-GB"/>
        </w:rPr>
        <w:t>s</w:t>
      </w:r>
      <w:r w:rsidRPr="009F0D6A">
        <w:rPr>
          <w:color w:val="000000"/>
          <w:lang w:val="en-GB"/>
        </w:rPr>
        <w:t xml:space="preserve"> have become a broad source of data, sometimes even involuntary.</w:t>
      </w:r>
    </w:p>
    <w:p w14:paraId="74BD693E" w14:textId="49CFD28A" w:rsidR="009F0D6A" w:rsidRPr="009F0D6A" w:rsidRDefault="009F0D6A" w:rsidP="00526D83">
      <w:pPr>
        <w:pBdr>
          <w:top w:val="nil"/>
          <w:left w:val="nil"/>
          <w:bottom w:val="nil"/>
          <w:right w:val="nil"/>
          <w:between w:val="nil"/>
        </w:pBdr>
        <w:spacing w:after="0"/>
        <w:rPr>
          <w:color w:val="000000"/>
          <w:lang w:val="en-GB"/>
        </w:rPr>
      </w:pPr>
      <w:r w:rsidRPr="009F0D6A">
        <w:rPr>
          <w:color w:val="000000"/>
          <w:lang w:val="en-GB"/>
        </w:rPr>
        <w:t>Thanks to this greater variety of data producers, the possibilities of enriching the information increase by combining the different sources now available</w:t>
      </w:r>
      <w:r w:rsidR="00F03478">
        <w:rPr>
          <w:color w:val="000000"/>
          <w:lang w:val="en-GB"/>
        </w:rPr>
        <w:t>. B</w:t>
      </w:r>
      <w:r w:rsidRPr="009F0D6A">
        <w:rPr>
          <w:color w:val="000000"/>
          <w:lang w:val="en-GB"/>
        </w:rPr>
        <w:t xml:space="preserve">ut, at the same time, </w:t>
      </w:r>
      <w:r w:rsidR="003A2789">
        <w:rPr>
          <w:color w:val="000000"/>
          <w:lang w:val="en-GB"/>
        </w:rPr>
        <w:t>a</w:t>
      </w:r>
      <w:r w:rsidRPr="009F0D6A">
        <w:rPr>
          <w:color w:val="000000"/>
          <w:lang w:val="en-GB"/>
        </w:rPr>
        <w:t xml:space="preserve"> new need</w:t>
      </w:r>
      <w:r w:rsidR="003A2789">
        <w:rPr>
          <w:color w:val="000000"/>
          <w:lang w:val="en-GB"/>
        </w:rPr>
        <w:t xml:space="preserve"> is created:</w:t>
      </w:r>
      <w:r w:rsidRPr="009F0D6A">
        <w:rPr>
          <w:color w:val="000000"/>
          <w:lang w:val="en-GB"/>
        </w:rPr>
        <w:t xml:space="preserve"> </w:t>
      </w:r>
      <w:r w:rsidRPr="00F03478">
        <w:rPr>
          <w:b/>
          <w:color w:val="000000"/>
          <w:lang w:val="en-GB"/>
        </w:rPr>
        <w:t>improv</w:t>
      </w:r>
      <w:r w:rsidR="003A2789">
        <w:rPr>
          <w:b/>
          <w:color w:val="000000"/>
          <w:lang w:val="en-GB"/>
        </w:rPr>
        <w:t>ing</w:t>
      </w:r>
      <w:r w:rsidRPr="00F03478">
        <w:rPr>
          <w:b/>
          <w:color w:val="000000"/>
          <w:lang w:val="en-GB"/>
        </w:rPr>
        <w:t xml:space="preserve"> coordination and integration</w:t>
      </w:r>
      <w:r w:rsidRPr="009F0D6A">
        <w:rPr>
          <w:color w:val="000000"/>
          <w:lang w:val="en-GB"/>
        </w:rPr>
        <w:t xml:space="preserve"> between all parties </w:t>
      </w:r>
      <w:r w:rsidR="00F03478">
        <w:rPr>
          <w:color w:val="000000"/>
          <w:lang w:val="en-GB"/>
        </w:rPr>
        <w:t>in</w:t>
      </w:r>
      <w:r w:rsidRPr="009F0D6A">
        <w:rPr>
          <w:color w:val="000000"/>
          <w:lang w:val="en-GB"/>
        </w:rPr>
        <w:t xml:space="preserve"> order to enable more efficient production and reuse of data and thus obtain the expected improvements in the social, economic and scientific fields. Therefore, the current challenge consists in the search for </w:t>
      </w:r>
      <w:r w:rsidRPr="00F03478">
        <w:rPr>
          <w:b/>
          <w:color w:val="000000"/>
          <w:lang w:val="en-GB"/>
        </w:rPr>
        <w:t>new models and collaborative relationships</w:t>
      </w:r>
      <w:r w:rsidRPr="009F0D6A">
        <w:rPr>
          <w:color w:val="000000"/>
          <w:lang w:val="en-GB"/>
        </w:rPr>
        <w:t xml:space="preserve"> between the different parties that give an adequate response to the </w:t>
      </w:r>
      <w:r w:rsidR="003A2789">
        <w:rPr>
          <w:color w:val="000000"/>
          <w:lang w:val="en-GB"/>
        </w:rPr>
        <w:t>current</w:t>
      </w:r>
      <w:r w:rsidRPr="009F0D6A">
        <w:rPr>
          <w:color w:val="000000"/>
          <w:lang w:val="en-GB"/>
        </w:rPr>
        <w:t xml:space="preserve"> challenges in order to achieve </w:t>
      </w:r>
      <w:r w:rsidRPr="00F03478">
        <w:rPr>
          <w:b/>
          <w:color w:val="000000"/>
          <w:lang w:val="en-GB"/>
        </w:rPr>
        <w:t xml:space="preserve">better </w:t>
      </w:r>
      <w:r w:rsidR="00203865" w:rsidRPr="00F03478">
        <w:rPr>
          <w:b/>
          <w:color w:val="000000"/>
          <w:lang w:val="en-GB"/>
        </w:rPr>
        <w:t xml:space="preserve">data </w:t>
      </w:r>
      <w:r w:rsidRPr="00F03478">
        <w:rPr>
          <w:b/>
          <w:color w:val="000000"/>
          <w:lang w:val="en-GB"/>
        </w:rPr>
        <w:t>management and greater availability</w:t>
      </w:r>
      <w:r w:rsidRPr="009F0D6A">
        <w:rPr>
          <w:color w:val="000000"/>
          <w:lang w:val="en-GB"/>
        </w:rPr>
        <w:t>, finally benefiting all parties and facilitating its reuse to a greater extent.</w:t>
      </w:r>
    </w:p>
    <w:p w14:paraId="51B181F4" w14:textId="6670B316" w:rsidR="00F03478" w:rsidRPr="00433274" w:rsidRDefault="00A4096A" w:rsidP="00526D83">
      <w:pPr>
        <w:pBdr>
          <w:top w:val="nil"/>
          <w:left w:val="nil"/>
          <w:bottom w:val="nil"/>
          <w:right w:val="nil"/>
          <w:between w:val="nil"/>
        </w:pBdr>
        <w:spacing w:after="0"/>
        <w:rPr>
          <w:color w:val="000000"/>
          <w:lang w:val="en-GB"/>
        </w:rPr>
      </w:pPr>
      <w:r>
        <w:rPr>
          <w:color w:val="000000"/>
          <w:lang w:val="en-GB"/>
        </w:rPr>
        <w:lastRenderedPageBreak/>
        <w:t>We have elaborat</w:t>
      </w:r>
      <w:r w:rsidRPr="00F03478">
        <w:rPr>
          <w:color w:val="000000"/>
          <w:lang w:val="en-GB"/>
        </w:rPr>
        <w:t>ed</w:t>
      </w:r>
      <w:r>
        <w:rPr>
          <w:color w:val="000000"/>
          <w:lang w:val="en-GB"/>
        </w:rPr>
        <w:t xml:space="preserve"> this report in order t</w:t>
      </w:r>
      <w:r w:rsidR="00F03478" w:rsidRPr="00F03478">
        <w:rPr>
          <w:color w:val="000000"/>
          <w:lang w:val="en-GB"/>
        </w:rPr>
        <w:t>o have a more complete vision of the situation and to know more in detail who are these new sectors that produce data, what are their motivations and what new models of collaboration are emerging between them</w:t>
      </w:r>
      <w:r>
        <w:rPr>
          <w:color w:val="000000"/>
          <w:lang w:val="en-GB"/>
        </w:rPr>
        <w:t xml:space="preserve">. </w:t>
      </w:r>
      <w:r w:rsidRPr="00433274">
        <w:rPr>
          <w:color w:val="000000"/>
          <w:lang w:val="en-GB"/>
        </w:rPr>
        <w:t xml:space="preserve">The report </w:t>
      </w:r>
      <w:r w:rsidR="00F03478" w:rsidRPr="00433274">
        <w:rPr>
          <w:color w:val="000000"/>
          <w:lang w:val="en-GB"/>
        </w:rPr>
        <w:t>is divided into two parts:</w:t>
      </w:r>
    </w:p>
    <w:p w14:paraId="2971FD35" w14:textId="150B9659" w:rsidR="00A4096A" w:rsidRPr="00A4096A" w:rsidRDefault="00B7528C" w:rsidP="00B7528C">
      <w:pPr>
        <w:pStyle w:val="Prrafodelista"/>
        <w:pBdr>
          <w:top w:val="nil"/>
          <w:left w:val="nil"/>
          <w:bottom w:val="nil"/>
          <w:right w:val="nil"/>
          <w:between w:val="nil"/>
        </w:pBdr>
        <w:spacing w:after="0"/>
        <w:jc w:val="both"/>
        <w:rPr>
          <w:rFonts w:ascii="Myriad Pro" w:hAnsi="Myriad Pro"/>
          <w:color w:val="000000"/>
          <w:sz w:val="24"/>
          <w:lang w:val="en-GB"/>
        </w:rPr>
      </w:pPr>
      <w:bookmarkStart w:id="3" w:name="_Hlk31900711"/>
      <w:r w:rsidRPr="00B7528C">
        <w:rPr>
          <w:rFonts w:ascii="Myriad Pro" w:hAnsi="Myriad Pro"/>
          <w:noProof/>
          <w:color w:val="E05206"/>
          <w:sz w:val="24"/>
        </w:rPr>
        <w:drawing>
          <wp:anchor distT="0" distB="0" distL="114300" distR="114300" simplePos="0" relativeHeight="251658240" behindDoc="0" locked="0" layoutInCell="1" allowOverlap="1" wp14:anchorId="6A38DDA7" wp14:editId="1CE1CD10">
            <wp:simplePos x="0" y="0"/>
            <wp:positionH relativeFrom="column">
              <wp:posOffset>460375</wp:posOffset>
            </wp:positionH>
            <wp:positionV relativeFrom="paragraph">
              <wp:posOffset>165735</wp:posOffset>
            </wp:positionV>
            <wp:extent cx="435610" cy="435610"/>
            <wp:effectExtent l="0" t="0" r="2540" b="2540"/>
            <wp:wrapSquare wrapText="bothSides"/>
            <wp:docPr id="2" name="Gráfico 2" descr="Conex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ediafile_JCNfNZ.svg"/>
                    <pic:cNvPicPr/>
                  </pic:nvPicPr>
                  <pic:blipFill>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435610" cy="435610"/>
                    </a:xfrm>
                    <a:prstGeom prst="rect">
                      <a:avLst/>
                    </a:prstGeom>
                  </pic:spPr>
                </pic:pic>
              </a:graphicData>
            </a:graphic>
            <wp14:sizeRelH relativeFrom="page">
              <wp14:pctWidth>0</wp14:pctWidth>
            </wp14:sizeRelH>
            <wp14:sizeRelV relativeFrom="page">
              <wp14:pctHeight>0</wp14:pctHeight>
            </wp14:sizeRelV>
          </wp:anchor>
        </w:drawing>
      </w:r>
      <w:r w:rsidR="00A4096A" w:rsidRPr="00A4096A">
        <w:rPr>
          <w:lang w:val="en-GB"/>
        </w:rPr>
        <w:t xml:space="preserve"> </w:t>
      </w:r>
      <w:r w:rsidR="00A4096A" w:rsidRPr="00A4096A">
        <w:rPr>
          <w:rFonts w:ascii="Myriad Pro" w:hAnsi="Myriad Pro"/>
          <w:color w:val="000000"/>
          <w:sz w:val="24"/>
          <w:lang w:val="en-GB"/>
        </w:rPr>
        <w:t>In the first part of the report</w:t>
      </w:r>
      <w:r w:rsidR="00A4096A">
        <w:rPr>
          <w:rFonts w:ascii="Myriad Pro" w:hAnsi="Myriad Pro"/>
          <w:color w:val="000000"/>
          <w:sz w:val="24"/>
          <w:lang w:val="en-GB"/>
        </w:rPr>
        <w:t>,</w:t>
      </w:r>
      <w:r w:rsidR="00A4096A" w:rsidRPr="00A4096A">
        <w:rPr>
          <w:rFonts w:ascii="Myriad Pro" w:hAnsi="Myriad Pro"/>
          <w:color w:val="000000"/>
          <w:sz w:val="24"/>
          <w:lang w:val="en-GB"/>
        </w:rPr>
        <w:t xml:space="preserve"> we will take a tour of the different </w:t>
      </w:r>
      <w:r w:rsidR="00A4096A" w:rsidRPr="00A4096A">
        <w:rPr>
          <w:rFonts w:ascii="Myriad Pro" w:hAnsi="Myriad Pro"/>
          <w:b/>
          <w:color w:val="000000"/>
          <w:sz w:val="24"/>
          <w:lang w:val="en-GB"/>
        </w:rPr>
        <w:t>data producing sectors</w:t>
      </w:r>
      <w:r w:rsidR="00A4096A" w:rsidRPr="00A4096A">
        <w:rPr>
          <w:rFonts w:ascii="Myriad Pro" w:hAnsi="Myriad Pro"/>
          <w:color w:val="000000"/>
          <w:sz w:val="24"/>
          <w:lang w:val="en-GB"/>
        </w:rPr>
        <w:t xml:space="preserve"> - leaving the public sector aside for a moment - and the alternative data sources they offer us, showing their </w:t>
      </w:r>
      <w:r w:rsidR="00A4096A" w:rsidRPr="00A4096A">
        <w:rPr>
          <w:rFonts w:ascii="Myriad Pro" w:hAnsi="Myriad Pro"/>
          <w:b/>
          <w:color w:val="000000"/>
          <w:sz w:val="24"/>
          <w:lang w:val="en-GB"/>
        </w:rPr>
        <w:t>motivations</w:t>
      </w:r>
      <w:r w:rsidR="00A4096A" w:rsidRPr="00A4096A">
        <w:rPr>
          <w:rFonts w:ascii="Myriad Pro" w:hAnsi="Myriad Pro"/>
          <w:color w:val="000000"/>
          <w:sz w:val="24"/>
          <w:lang w:val="en-GB"/>
        </w:rPr>
        <w:t>, their particularities and several examples.</w:t>
      </w:r>
    </w:p>
    <w:p w14:paraId="0B6159B9" w14:textId="5627D8C4" w:rsidR="00B7528C" w:rsidRPr="00433274" w:rsidRDefault="00433274" w:rsidP="00B7528C">
      <w:pPr>
        <w:pStyle w:val="Prrafodelista"/>
        <w:pBdr>
          <w:top w:val="nil"/>
          <w:left w:val="nil"/>
          <w:bottom w:val="nil"/>
          <w:right w:val="nil"/>
          <w:between w:val="nil"/>
        </w:pBdr>
        <w:spacing w:after="0"/>
        <w:jc w:val="both"/>
        <w:rPr>
          <w:rFonts w:ascii="Myriad Pro" w:hAnsi="Myriad Pro"/>
          <w:color w:val="000000"/>
          <w:sz w:val="24"/>
          <w:lang w:val="en-GB"/>
        </w:rPr>
      </w:pPr>
      <w:r>
        <w:rPr>
          <w:rFonts w:ascii="Myriad Pro" w:hAnsi="Myriad Pro"/>
          <w:noProof/>
          <w:color w:val="000000"/>
          <w:sz w:val="24"/>
        </w:rPr>
        <w:drawing>
          <wp:anchor distT="0" distB="0" distL="114300" distR="114300" simplePos="0" relativeHeight="251659264" behindDoc="0" locked="0" layoutInCell="1" allowOverlap="1" wp14:anchorId="30AACC2F" wp14:editId="02A746A3">
            <wp:simplePos x="0" y="0"/>
            <wp:positionH relativeFrom="column">
              <wp:posOffset>460375</wp:posOffset>
            </wp:positionH>
            <wp:positionV relativeFrom="paragraph">
              <wp:posOffset>246380</wp:posOffset>
            </wp:positionV>
            <wp:extent cx="531495" cy="531495"/>
            <wp:effectExtent l="0" t="0" r="1905" b="0"/>
            <wp:wrapSquare wrapText="bothSides"/>
            <wp:docPr id="4" name="Gráfico 4" descr="Apretón de man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ediafile_PBk6HY.svg"/>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531495" cy="531495"/>
                    </a:xfrm>
                    <a:prstGeom prst="rect">
                      <a:avLst/>
                    </a:prstGeom>
                  </pic:spPr>
                </pic:pic>
              </a:graphicData>
            </a:graphic>
            <wp14:sizeRelH relativeFrom="page">
              <wp14:pctWidth>0</wp14:pctWidth>
            </wp14:sizeRelH>
            <wp14:sizeRelV relativeFrom="page">
              <wp14:pctHeight>0</wp14:pctHeight>
            </wp14:sizeRelV>
          </wp:anchor>
        </w:drawing>
      </w:r>
    </w:p>
    <w:p w14:paraId="72EF6BA7" w14:textId="1F81EB2D" w:rsidR="00A4096A" w:rsidRPr="00A4096A" w:rsidRDefault="00A4096A" w:rsidP="00B7528C">
      <w:pPr>
        <w:pStyle w:val="Prrafodelista"/>
        <w:pBdr>
          <w:top w:val="nil"/>
          <w:left w:val="nil"/>
          <w:bottom w:val="nil"/>
          <w:right w:val="nil"/>
          <w:between w:val="nil"/>
        </w:pBdr>
        <w:spacing w:after="0"/>
        <w:jc w:val="both"/>
        <w:rPr>
          <w:rFonts w:ascii="Myriad Pro" w:hAnsi="Myriad Pro"/>
          <w:color w:val="000000"/>
          <w:sz w:val="24"/>
          <w:lang w:val="en-GB"/>
        </w:rPr>
      </w:pPr>
      <w:r w:rsidRPr="00A4096A">
        <w:rPr>
          <w:rFonts w:ascii="Myriad Pro" w:hAnsi="Myriad Pro"/>
          <w:color w:val="000000"/>
          <w:sz w:val="24"/>
          <w:lang w:val="en-GB"/>
        </w:rPr>
        <w:t xml:space="preserve">In the second part of the report we will focus on </w:t>
      </w:r>
      <w:r w:rsidR="003A2789" w:rsidRPr="00A4096A">
        <w:rPr>
          <w:rFonts w:ascii="Myriad Pro" w:hAnsi="Myriad Pro"/>
          <w:color w:val="000000"/>
          <w:sz w:val="24"/>
          <w:lang w:val="en-GB"/>
        </w:rPr>
        <w:t>analysing</w:t>
      </w:r>
      <w:r w:rsidRPr="00A4096A">
        <w:rPr>
          <w:rFonts w:ascii="Myriad Pro" w:hAnsi="Myriad Pro"/>
          <w:color w:val="000000"/>
          <w:sz w:val="24"/>
          <w:lang w:val="en-GB"/>
        </w:rPr>
        <w:t xml:space="preserve"> the </w:t>
      </w:r>
      <w:r w:rsidRPr="00A4096A">
        <w:rPr>
          <w:rFonts w:ascii="Myriad Pro" w:hAnsi="Myriad Pro"/>
          <w:b/>
          <w:color w:val="000000"/>
          <w:sz w:val="24"/>
          <w:lang w:val="en-GB"/>
        </w:rPr>
        <w:t>collaboration models</w:t>
      </w:r>
      <w:r w:rsidRPr="00A4096A">
        <w:rPr>
          <w:rFonts w:ascii="Myriad Pro" w:hAnsi="Myriad Pro"/>
          <w:color w:val="000000"/>
          <w:sz w:val="24"/>
          <w:lang w:val="en-GB"/>
        </w:rPr>
        <w:t xml:space="preserve"> that may arise between the public sector and other sectors to give rise to joint actions that improve the governance, availability and final reuse of the data, showing again the differences and similarities between each of them and different examples of how they have been implemented so far.</w:t>
      </w:r>
    </w:p>
    <w:p w14:paraId="199728D1" w14:textId="7E24D6BC" w:rsidR="00526D83" w:rsidRPr="00433274" w:rsidRDefault="00526D83" w:rsidP="00F84120">
      <w:pPr>
        <w:rPr>
          <w:lang w:val="en-GB"/>
        </w:rPr>
      </w:pPr>
    </w:p>
    <w:p w14:paraId="7EAE6705" w14:textId="677A31CE" w:rsidR="00F84120" w:rsidRPr="00A4096A" w:rsidRDefault="00526D83" w:rsidP="00B7528C">
      <w:pPr>
        <w:pStyle w:val="Ttulo1"/>
        <w:ind w:left="0"/>
        <w:rPr>
          <w:lang w:val="en-GB"/>
        </w:rPr>
      </w:pPr>
      <w:bookmarkStart w:id="4" w:name="_Toc34134685"/>
      <w:bookmarkEnd w:id="3"/>
      <w:r w:rsidRPr="00A4096A">
        <w:rPr>
          <w:lang w:val="en-GB"/>
        </w:rPr>
        <w:lastRenderedPageBreak/>
        <w:t xml:space="preserve">Part I: </w:t>
      </w:r>
      <w:r w:rsidR="00A4096A">
        <w:rPr>
          <w:lang w:val="en-GB"/>
        </w:rPr>
        <w:t>Other data producing sectors</w:t>
      </w:r>
      <w:bookmarkEnd w:id="4"/>
    </w:p>
    <w:p w14:paraId="154863E5" w14:textId="1071CEA6" w:rsidR="00A4096A" w:rsidRPr="00A4096A" w:rsidRDefault="00A4096A" w:rsidP="00731FC7">
      <w:pPr>
        <w:spacing w:after="0"/>
        <w:rPr>
          <w:lang w:val="en-GB"/>
        </w:rPr>
      </w:pPr>
      <w:r w:rsidRPr="00A4096A">
        <w:rPr>
          <w:lang w:val="en-GB"/>
        </w:rPr>
        <w:t xml:space="preserve">The open data discourse has often been focused almost exclusively on government data, a sector in which the opening of data is easily justifiable due to issues </w:t>
      </w:r>
      <w:r w:rsidR="00806393">
        <w:rPr>
          <w:lang w:val="en-GB"/>
        </w:rPr>
        <w:t>such as</w:t>
      </w:r>
      <w:r w:rsidRPr="00A4096A">
        <w:rPr>
          <w:lang w:val="en-GB"/>
        </w:rPr>
        <w:t xml:space="preserve"> improv</w:t>
      </w:r>
      <w:r w:rsidR="00806393">
        <w:rPr>
          <w:lang w:val="en-GB"/>
        </w:rPr>
        <w:t>ing</w:t>
      </w:r>
      <w:r w:rsidRPr="00A4096A">
        <w:rPr>
          <w:lang w:val="en-GB"/>
        </w:rPr>
        <w:t xml:space="preserve"> transparency, efficiency and accountability. However, other possible motivations that could turn other sectors into valuable alternative data sources available for reuse have often been </w:t>
      </w:r>
      <w:r w:rsidR="00806393" w:rsidRPr="00A4096A">
        <w:rPr>
          <w:lang w:val="en-GB"/>
        </w:rPr>
        <w:t>o</w:t>
      </w:r>
      <w:r w:rsidR="00806393">
        <w:rPr>
          <w:lang w:val="en-GB"/>
        </w:rPr>
        <w:t>mitted</w:t>
      </w:r>
      <w:r w:rsidR="00806393" w:rsidRPr="00806393">
        <w:rPr>
          <w:lang w:val="en-GB"/>
        </w:rPr>
        <w:t xml:space="preserve"> </w:t>
      </w:r>
      <w:r w:rsidR="00806393" w:rsidRPr="00A4096A">
        <w:rPr>
          <w:lang w:val="en-GB"/>
        </w:rPr>
        <w:t>at the same time</w:t>
      </w:r>
      <w:r w:rsidRPr="00A4096A">
        <w:rPr>
          <w:lang w:val="en-GB"/>
        </w:rPr>
        <w:t>.</w:t>
      </w:r>
    </w:p>
    <w:p w14:paraId="17F4DB48" w14:textId="4181F233" w:rsidR="00806393" w:rsidRDefault="00806393" w:rsidP="00731FC7">
      <w:pPr>
        <w:spacing w:after="0"/>
        <w:rPr>
          <w:lang w:val="en-GB"/>
        </w:rPr>
      </w:pPr>
      <w:r w:rsidRPr="00806393">
        <w:rPr>
          <w:lang w:val="en-GB"/>
        </w:rPr>
        <w:t xml:space="preserve">Thus, the objective of this first section of the report is to take a </w:t>
      </w:r>
      <w:r w:rsidRPr="00806393">
        <w:rPr>
          <w:b/>
          <w:lang w:val="en-GB"/>
        </w:rPr>
        <w:t>tour of those other possible sources of data from different sectors beyond the public sector</w:t>
      </w:r>
      <w:r w:rsidRPr="00806393">
        <w:rPr>
          <w:lang w:val="en-GB"/>
        </w:rPr>
        <w:t xml:space="preserve"> - including the private sector, the academic and innovation sector, known as the </w:t>
      </w:r>
      <w:r w:rsidRPr="00806393">
        <w:rPr>
          <w:i/>
          <w:lang w:val="en-GB"/>
        </w:rPr>
        <w:t>third sector</w:t>
      </w:r>
      <w:r>
        <w:rPr>
          <w:lang w:val="en-GB"/>
        </w:rPr>
        <w:t xml:space="preserve">, </w:t>
      </w:r>
      <w:r w:rsidRPr="00806393">
        <w:rPr>
          <w:lang w:val="en-GB"/>
        </w:rPr>
        <w:t>and the citizenship itself - analysing the possible motivations in each case and including real examples that serve to make its potential clear when also providing us with high-value data.</w:t>
      </w:r>
    </w:p>
    <w:p w14:paraId="313576E7" w14:textId="39E32190" w:rsidR="00806393" w:rsidRPr="00806393" w:rsidRDefault="00806393" w:rsidP="00731FC7">
      <w:pPr>
        <w:spacing w:after="0"/>
        <w:rPr>
          <w:lang w:val="en-GB"/>
        </w:rPr>
      </w:pPr>
      <w:r w:rsidRPr="00806393">
        <w:rPr>
          <w:lang w:val="en-GB"/>
        </w:rPr>
        <w:t xml:space="preserve">The following image includes these data publishers, </w:t>
      </w:r>
      <w:r>
        <w:rPr>
          <w:lang w:val="en-GB"/>
        </w:rPr>
        <w:t>different from</w:t>
      </w:r>
      <w:r w:rsidRPr="00806393">
        <w:rPr>
          <w:lang w:val="en-GB"/>
        </w:rPr>
        <w:t xml:space="preserve"> the public sector:</w:t>
      </w:r>
    </w:p>
    <w:p w14:paraId="24648326" w14:textId="3337A75E" w:rsidR="0034372C" w:rsidRDefault="0034372C" w:rsidP="0034372C">
      <w:pPr>
        <w:spacing w:after="0"/>
      </w:pPr>
      <w:r>
        <w:rPr>
          <w:noProof/>
        </w:rPr>
        <w:drawing>
          <wp:inline distT="0" distB="0" distL="0" distR="0" wp14:anchorId="750C2D3C" wp14:editId="3D34E592">
            <wp:extent cx="5763260" cy="2100924"/>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Visual_Doc_01.jpg"/>
                    <pic:cNvPicPr/>
                  </pic:nvPicPr>
                  <pic:blipFill>
                    <a:blip r:embed="rId20">
                      <a:extLst>
                        <a:ext uri="{28A0092B-C50C-407E-A947-70E740481C1C}">
                          <a14:useLocalDpi xmlns:a14="http://schemas.microsoft.com/office/drawing/2010/main" val="0"/>
                        </a:ext>
                      </a:extLst>
                    </a:blip>
                    <a:stretch>
                      <a:fillRect/>
                    </a:stretch>
                  </pic:blipFill>
                  <pic:spPr>
                    <a:xfrm>
                      <a:off x="0" y="0"/>
                      <a:ext cx="5763260" cy="2100924"/>
                    </a:xfrm>
                    <a:prstGeom prst="rect">
                      <a:avLst/>
                    </a:prstGeom>
                  </pic:spPr>
                </pic:pic>
              </a:graphicData>
            </a:graphic>
          </wp:inline>
        </w:drawing>
      </w:r>
      <w:bookmarkStart w:id="5" w:name="_Toc30777390"/>
    </w:p>
    <w:p w14:paraId="791C9BF5" w14:textId="4974EF48" w:rsidR="0034372C" w:rsidRDefault="0034372C" w:rsidP="0034372C">
      <w:pPr>
        <w:spacing w:after="0"/>
      </w:pPr>
    </w:p>
    <w:p w14:paraId="260C6EC1" w14:textId="77777777" w:rsidR="0032791B" w:rsidRDefault="0032791B" w:rsidP="0034372C">
      <w:pPr>
        <w:spacing w:after="0"/>
      </w:pPr>
    </w:p>
    <w:p w14:paraId="016EE151" w14:textId="6A3FD242" w:rsidR="00526D83" w:rsidRPr="00433274" w:rsidRDefault="00AD262C" w:rsidP="00B7528C">
      <w:pPr>
        <w:pStyle w:val="Ttulo2"/>
        <w:ind w:left="0"/>
        <w:rPr>
          <w:lang w:val="en-GB"/>
        </w:rPr>
      </w:pPr>
      <w:bookmarkStart w:id="6" w:name="_Toc34134686"/>
      <w:r w:rsidRPr="00433274">
        <w:rPr>
          <w:lang w:val="en-GB"/>
        </w:rPr>
        <w:lastRenderedPageBreak/>
        <w:t xml:space="preserve">1.1. </w:t>
      </w:r>
      <w:bookmarkEnd w:id="5"/>
      <w:r w:rsidR="0032791B" w:rsidRPr="00433274">
        <w:rPr>
          <w:lang w:val="en-GB"/>
        </w:rPr>
        <w:t>DATA FROM THE PRIVATE SECTOR</w:t>
      </w:r>
      <w:bookmarkEnd w:id="6"/>
    </w:p>
    <w:p w14:paraId="78455A11" w14:textId="4F5FBCE3" w:rsidR="0032791B" w:rsidRPr="0032791B" w:rsidRDefault="0032791B" w:rsidP="00731FC7">
      <w:pPr>
        <w:spacing w:after="0"/>
        <w:rPr>
          <w:lang w:val="en-GB"/>
        </w:rPr>
      </w:pPr>
      <w:r w:rsidRPr="0032791B">
        <w:rPr>
          <w:lang w:val="en-GB"/>
        </w:rPr>
        <w:t xml:space="preserve">The private sector is probably the </w:t>
      </w:r>
      <w:r w:rsidR="004C3B23">
        <w:rPr>
          <w:lang w:val="en-GB"/>
        </w:rPr>
        <w:t>big</w:t>
      </w:r>
      <w:r w:rsidRPr="0032791B">
        <w:rPr>
          <w:lang w:val="en-GB"/>
        </w:rPr>
        <w:t xml:space="preserve">gest </w:t>
      </w:r>
      <w:r w:rsidR="004C3B23" w:rsidRPr="0032791B">
        <w:rPr>
          <w:lang w:val="en-GB"/>
        </w:rPr>
        <w:t xml:space="preserve">data </w:t>
      </w:r>
      <w:r w:rsidRPr="0032791B">
        <w:rPr>
          <w:lang w:val="en-GB"/>
        </w:rPr>
        <w:t>generator and manager currently available, although the vast majority of that data is not publicly available. Companies generally have a series of common incentives when sharing their data</w:t>
      </w:r>
      <w:r w:rsidR="004C3B23">
        <w:rPr>
          <w:lang w:val="en-GB"/>
        </w:rPr>
        <w:t>.</w:t>
      </w:r>
      <w:r w:rsidR="007B3B65">
        <w:rPr>
          <w:lang w:val="en-GB"/>
        </w:rPr>
        <w:t xml:space="preserve"> </w:t>
      </w:r>
      <w:r w:rsidR="004C3B23">
        <w:rPr>
          <w:lang w:val="en-GB"/>
        </w:rPr>
        <w:t xml:space="preserve">The following </w:t>
      </w:r>
      <w:r w:rsidR="007B3B65">
        <w:rPr>
          <w:lang w:val="en-GB"/>
        </w:rPr>
        <w:t>figu</w:t>
      </w:r>
      <w:r w:rsidR="004C3B23">
        <w:rPr>
          <w:lang w:val="en-GB"/>
        </w:rPr>
        <w:t>re shows the main ones</w:t>
      </w:r>
      <w:r w:rsidRPr="0032791B">
        <w:rPr>
          <w:lang w:val="en-GB"/>
        </w:rPr>
        <w:t>:</w:t>
      </w:r>
    </w:p>
    <w:p w14:paraId="3E50999C" w14:textId="673815CB" w:rsidR="007B3760" w:rsidRDefault="007B3760" w:rsidP="00731FC7">
      <w:pPr>
        <w:spacing w:after="0"/>
      </w:pPr>
      <w:r>
        <w:rPr>
          <w:b/>
          <w:noProof/>
          <w:color w:val="000000"/>
        </w:rPr>
        <w:drawing>
          <wp:inline distT="0" distB="0" distL="0" distR="0" wp14:anchorId="6DA8E888" wp14:editId="406BA264">
            <wp:extent cx="5763260" cy="2100924"/>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Visual_Doc_02.jpg"/>
                    <pic:cNvPicPr/>
                  </pic:nvPicPr>
                  <pic:blipFill>
                    <a:blip r:embed="rId21">
                      <a:extLst>
                        <a:ext uri="{28A0092B-C50C-407E-A947-70E740481C1C}">
                          <a14:useLocalDpi xmlns:a14="http://schemas.microsoft.com/office/drawing/2010/main" val="0"/>
                        </a:ext>
                      </a:extLst>
                    </a:blip>
                    <a:stretch>
                      <a:fillRect/>
                    </a:stretch>
                  </pic:blipFill>
                  <pic:spPr>
                    <a:xfrm>
                      <a:off x="0" y="0"/>
                      <a:ext cx="5763260" cy="2100924"/>
                    </a:xfrm>
                    <a:prstGeom prst="rect">
                      <a:avLst/>
                    </a:prstGeom>
                  </pic:spPr>
                </pic:pic>
              </a:graphicData>
            </a:graphic>
          </wp:inline>
        </w:drawing>
      </w:r>
    </w:p>
    <w:p w14:paraId="31032B46" w14:textId="2E4FFCB5" w:rsidR="004C3B23" w:rsidRPr="004C3B23" w:rsidRDefault="004C3B23" w:rsidP="004C3B23">
      <w:pPr>
        <w:numPr>
          <w:ilvl w:val="0"/>
          <w:numId w:val="11"/>
        </w:numPr>
        <w:pBdr>
          <w:top w:val="nil"/>
          <w:left w:val="nil"/>
          <w:bottom w:val="nil"/>
          <w:right w:val="nil"/>
          <w:between w:val="nil"/>
        </w:pBdr>
        <w:spacing w:after="0"/>
        <w:rPr>
          <w:lang w:val="en-GB"/>
        </w:rPr>
      </w:pPr>
      <w:r w:rsidRPr="004C3B23">
        <w:rPr>
          <w:b/>
          <w:lang w:val="en-GB"/>
        </w:rPr>
        <w:t>Generation of benefits:</w:t>
      </w:r>
      <w:r w:rsidRPr="004C3B23">
        <w:rPr>
          <w:lang w:val="en-GB"/>
        </w:rPr>
        <w:t xml:space="preserve"> the opening, transfer or </w:t>
      </w:r>
      <w:r>
        <w:rPr>
          <w:lang w:val="en-GB"/>
        </w:rPr>
        <w:t xml:space="preserve">sharing </w:t>
      </w:r>
      <w:r w:rsidRPr="004C3B23">
        <w:rPr>
          <w:lang w:val="en-GB"/>
        </w:rPr>
        <w:t>of corporate data does not always have to be free of charge. In some cases that data could be provided in exchange for financial compensation, or even as a new service, thus contributing to generate additional revenue for the company.</w:t>
      </w:r>
    </w:p>
    <w:p w14:paraId="687A3628" w14:textId="7AA2C2DE" w:rsidR="004C3B23" w:rsidRDefault="004C3B23" w:rsidP="004C3B23">
      <w:pPr>
        <w:numPr>
          <w:ilvl w:val="0"/>
          <w:numId w:val="11"/>
        </w:numPr>
        <w:pBdr>
          <w:top w:val="nil"/>
          <w:left w:val="nil"/>
          <w:bottom w:val="nil"/>
          <w:right w:val="nil"/>
          <w:between w:val="nil"/>
        </w:pBdr>
        <w:spacing w:after="0"/>
        <w:rPr>
          <w:lang w:val="en-GB"/>
        </w:rPr>
      </w:pPr>
      <w:r w:rsidRPr="004C3B23">
        <w:rPr>
          <w:b/>
          <w:lang w:val="en-GB"/>
        </w:rPr>
        <w:t>Reciprocity:</w:t>
      </w:r>
      <w:r w:rsidRPr="004C3B23">
        <w:rPr>
          <w:lang w:val="en-GB"/>
        </w:rPr>
        <w:t xml:space="preserve"> companies can share their data with other entities in an exchange for mutual benefit, thus seeking access to other data sources that may be important for their own business decisions.</w:t>
      </w:r>
    </w:p>
    <w:p w14:paraId="5345A979" w14:textId="0863A3A1" w:rsidR="004C3B23" w:rsidRPr="004C3B23" w:rsidRDefault="004C3B23" w:rsidP="004C3B23">
      <w:pPr>
        <w:numPr>
          <w:ilvl w:val="0"/>
          <w:numId w:val="11"/>
        </w:numPr>
        <w:pBdr>
          <w:top w:val="nil"/>
          <w:left w:val="nil"/>
          <w:bottom w:val="nil"/>
          <w:right w:val="nil"/>
          <w:between w:val="nil"/>
        </w:pBdr>
        <w:spacing w:after="0"/>
        <w:rPr>
          <w:lang w:val="en-GB"/>
        </w:rPr>
      </w:pPr>
      <w:r w:rsidRPr="004C3B23">
        <w:rPr>
          <w:b/>
          <w:lang w:val="en-GB"/>
        </w:rPr>
        <w:t>Research and innovation:</w:t>
      </w:r>
      <w:r w:rsidRPr="004C3B23">
        <w:rPr>
          <w:lang w:val="en-GB"/>
        </w:rPr>
        <w:t xml:space="preserve"> the opening of corporate data can generate new responses to particular problems, providing companies with new perspectives beyond their own borders</w:t>
      </w:r>
      <w:r>
        <w:rPr>
          <w:lang w:val="en-GB"/>
        </w:rPr>
        <w:t xml:space="preserve"> -perspectives</w:t>
      </w:r>
      <w:r w:rsidRPr="004C3B23">
        <w:rPr>
          <w:lang w:val="en-GB"/>
        </w:rPr>
        <w:t xml:space="preserve"> that they could not have obtained otherwise</w:t>
      </w:r>
      <w:r>
        <w:rPr>
          <w:lang w:val="en-GB"/>
        </w:rPr>
        <w:t>-</w:t>
      </w:r>
      <w:r w:rsidRPr="004C3B23">
        <w:rPr>
          <w:lang w:val="en-GB"/>
        </w:rPr>
        <w:t>, and gaining access to other skills that may not were available at the company itself until that time.</w:t>
      </w:r>
    </w:p>
    <w:p w14:paraId="511AA7B2" w14:textId="48A9590D" w:rsidR="004C3B23" w:rsidRPr="004C3B23" w:rsidRDefault="004C3B23" w:rsidP="004C3B23">
      <w:pPr>
        <w:numPr>
          <w:ilvl w:val="0"/>
          <w:numId w:val="11"/>
        </w:numPr>
        <w:pBdr>
          <w:top w:val="nil"/>
          <w:left w:val="nil"/>
          <w:bottom w:val="nil"/>
          <w:right w:val="nil"/>
          <w:between w:val="nil"/>
        </w:pBdr>
        <w:spacing w:after="0"/>
        <w:rPr>
          <w:lang w:val="en-GB"/>
        </w:rPr>
      </w:pPr>
      <w:r w:rsidRPr="007B3B65">
        <w:rPr>
          <w:b/>
          <w:lang w:val="en-GB"/>
        </w:rPr>
        <w:t>Reputation improvement:</w:t>
      </w:r>
      <w:r w:rsidRPr="004C3B23">
        <w:rPr>
          <w:lang w:val="en-GB"/>
        </w:rPr>
        <w:t xml:space="preserve"> the transfer of data by companies, especially when the objective pursued is a common good for society, can also contribute to the </w:t>
      </w:r>
      <w:r w:rsidRPr="004C3B23">
        <w:rPr>
          <w:lang w:val="en-GB"/>
        </w:rPr>
        <w:lastRenderedPageBreak/>
        <w:t xml:space="preserve">improvement of their reputation and corporate image, which is </w:t>
      </w:r>
      <w:r w:rsidR="007B3B65">
        <w:rPr>
          <w:lang w:val="en-GB"/>
        </w:rPr>
        <w:t xml:space="preserve">also </w:t>
      </w:r>
      <w:r w:rsidRPr="004C3B23">
        <w:rPr>
          <w:lang w:val="en-GB"/>
        </w:rPr>
        <w:t xml:space="preserve">a new </w:t>
      </w:r>
      <w:r w:rsidR="003A2789">
        <w:rPr>
          <w:lang w:val="en-GB"/>
        </w:rPr>
        <w:t>opportunity</w:t>
      </w:r>
      <w:r w:rsidRPr="004C3B23">
        <w:rPr>
          <w:lang w:val="en-GB"/>
        </w:rPr>
        <w:t xml:space="preserve"> to attract potential new users, customers, employees and investors.</w:t>
      </w:r>
    </w:p>
    <w:p w14:paraId="1F7722B4" w14:textId="5B00856E" w:rsidR="004C3B23" w:rsidRPr="004C3B23" w:rsidRDefault="004C3B23" w:rsidP="006B2E86">
      <w:pPr>
        <w:spacing w:after="0"/>
        <w:rPr>
          <w:lang w:val="en-GB"/>
        </w:rPr>
      </w:pPr>
      <w:bookmarkStart w:id="7" w:name="_Toc30777391"/>
      <w:r w:rsidRPr="004C3B23">
        <w:rPr>
          <w:lang w:val="en-GB"/>
        </w:rPr>
        <w:t xml:space="preserve">In the following sections we will go through some more specific </w:t>
      </w:r>
      <w:r w:rsidRPr="007B3B65">
        <w:rPr>
          <w:b/>
          <w:lang w:val="en-GB"/>
        </w:rPr>
        <w:t>motivations for the opening of data in the private sector</w:t>
      </w:r>
      <w:r w:rsidRPr="004C3B23">
        <w:rPr>
          <w:lang w:val="en-GB"/>
        </w:rPr>
        <w:t>, as well as several examples for each of them.</w:t>
      </w:r>
      <w:r w:rsidR="007B3B65">
        <w:rPr>
          <w:lang w:val="en-GB"/>
        </w:rPr>
        <w:t xml:space="preserve"> </w:t>
      </w:r>
      <w:r w:rsidR="007B3B65" w:rsidRPr="007B3B65">
        <w:rPr>
          <w:lang w:val="en-GB"/>
        </w:rPr>
        <w:t>The following figure summarizes these motivations, which will be seen in detail below.</w:t>
      </w:r>
    </w:p>
    <w:p w14:paraId="1FD402E6" w14:textId="6C39B405" w:rsidR="006B2E86" w:rsidRDefault="006B2E86" w:rsidP="006B2E86">
      <w:pPr>
        <w:spacing w:after="0"/>
      </w:pPr>
      <w:r>
        <w:rPr>
          <w:noProof/>
        </w:rPr>
        <w:drawing>
          <wp:inline distT="0" distB="0" distL="0" distR="0" wp14:anchorId="41D2C887" wp14:editId="619BDDF2">
            <wp:extent cx="5763260" cy="4512861"/>
            <wp:effectExtent l="0" t="0" r="0" b="254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Visual_Doc_03.jpg"/>
                    <pic:cNvPicPr/>
                  </pic:nvPicPr>
                  <pic:blipFill>
                    <a:blip r:embed="rId22">
                      <a:extLst>
                        <a:ext uri="{28A0092B-C50C-407E-A947-70E740481C1C}">
                          <a14:useLocalDpi xmlns:a14="http://schemas.microsoft.com/office/drawing/2010/main" val="0"/>
                        </a:ext>
                      </a:extLst>
                    </a:blip>
                    <a:stretch>
                      <a:fillRect/>
                    </a:stretch>
                  </pic:blipFill>
                  <pic:spPr>
                    <a:xfrm>
                      <a:off x="0" y="0"/>
                      <a:ext cx="5763260" cy="4512861"/>
                    </a:xfrm>
                    <a:prstGeom prst="rect">
                      <a:avLst/>
                    </a:prstGeom>
                  </pic:spPr>
                </pic:pic>
              </a:graphicData>
            </a:graphic>
          </wp:inline>
        </w:drawing>
      </w:r>
    </w:p>
    <w:p w14:paraId="317725D5" w14:textId="1E11707E" w:rsidR="00526D83" w:rsidRPr="007B3B65" w:rsidRDefault="00526D83" w:rsidP="00B7528C">
      <w:pPr>
        <w:pStyle w:val="Ttulo3"/>
        <w:numPr>
          <w:ilvl w:val="0"/>
          <w:numId w:val="0"/>
        </w:numPr>
        <w:spacing w:before="240" w:after="0" w:line="360" w:lineRule="auto"/>
        <w:ind w:left="720" w:hanging="720"/>
        <w:rPr>
          <w:lang w:val="en-GB"/>
        </w:rPr>
      </w:pPr>
      <w:bookmarkStart w:id="8" w:name="_Toc34134687"/>
      <w:r w:rsidRPr="007B3B65">
        <w:rPr>
          <w:lang w:val="en-GB"/>
        </w:rPr>
        <w:t>1.1.1 – Regula</w:t>
      </w:r>
      <w:r w:rsidR="007B3B65" w:rsidRPr="007B3B65">
        <w:rPr>
          <w:lang w:val="en-GB"/>
        </w:rPr>
        <w:t>t</w:t>
      </w:r>
      <w:r w:rsidRPr="007B3B65">
        <w:rPr>
          <w:lang w:val="en-GB"/>
        </w:rPr>
        <w:t>i</w:t>
      </w:r>
      <w:r w:rsidR="007B3B65" w:rsidRPr="007B3B65">
        <w:rPr>
          <w:lang w:val="en-GB"/>
        </w:rPr>
        <w:t>o</w:t>
      </w:r>
      <w:r w:rsidRPr="007B3B65">
        <w:rPr>
          <w:lang w:val="en-GB"/>
        </w:rPr>
        <w:t xml:space="preserve">n </w:t>
      </w:r>
      <w:r w:rsidR="007B3B65" w:rsidRPr="007B3B65">
        <w:rPr>
          <w:lang w:val="en-GB"/>
        </w:rPr>
        <w:t>i</w:t>
      </w:r>
      <w:r w:rsidRPr="007B3B65">
        <w:rPr>
          <w:lang w:val="en-GB"/>
        </w:rPr>
        <w:t>n s</w:t>
      </w:r>
      <w:r w:rsidR="007B3B65" w:rsidRPr="007B3B65">
        <w:rPr>
          <w:lang w:val="en-GB"/>
        </w:rPr>
        <w:t>pecific se</w:t>
      </w:r>
      <w:r w:rsidR="003A2789">
        <w:rPr>
          <w:lang w:val="en-GB"/>
        </w:rPr>
        <w:t>c</w:t>
      </w:r>
      <w:r w:rsidR="007B3B65" w:rsidRPr="007B3B65">
        <w:rPr>
          <w:lang w:val="en-GB"/>
        </w:rPr>
        <w:t>tors</w:t>
      </w:r>
      <w:bookmarkEnd w:id="7"/>
      <w:bookmarkEnd w:id="8"/>
    </w:p>
    <w:p w14:paraId="3B58FF9B" w14:textId="7C875D4F" w:rsidR="007B3B65" w:rsidRPr="007B3B65" w:rsidRDefault="007B3B65" w:rsidP="007B3B65">
      <w:pPr>
        <w:spacing w:after="0"/>
        <w:rPr>
          <w:lang w:val="en-GB"/>
        </w:rPr>
      </w:pPr>
      <w:r w:rsidRPr="007B3B65">
        <w:rPr>
          <w:lang w:val="en-GB"/>
        </w:rPr>
        <w:t xml:space="preserve">There are certain regulations that affect different specific areas of the private sector and that, in one way or another, create new </w:t>
      </w:r>
      <w:r w:rsidRPr="007B3B65">
        <w:rPr>
          <w:b/>
          <w:lang w:val="en-GB"/>
        </w:rPr>
        <w:t>data publishing obligations</w:t>
      </w:r>
      <w:r w:rsidRPr="007B3B65">
        <w:rPr>
          <w:lang w:val="en-GB"/>
        </w:rPr>
        <w:t xml:space="preserve"> and expand our possibilities of accessing alternative and complementary data sources</w:t>
      </w:r>
      <w:r w:rsidR="000E00C3">
        <w:rPr>
          <w:lang w:val="en-GB"/>
        </w:rPr>
        <w:t>, different from</w:t>
      </w:r>
      <w:r w:rsidRPr="007B3B65">
        <w:rPr>
          <w:lang w:val="en-GB"/>
        </w:rPr>
        <w:t xml:space="preserve"> those </w:t>
      </w:r>
      <w:r w:rsidR="003A2789">
        <w:rPr>
          <w:lang w:val="en-GB"/>
        </w:rPr>
        <w:t xml:space="preserve">published </w:t>
      </w:r>
      <w:r w:rsidR="000E00C3">
        <w:rPr>
          <w:lang w:val="en-GB"/>
        </w:rPr>
        <w:t>by</w:t>
      </w:r>
      <w:r w:rsidRPr="007B3B65">
        <w:rPr>
          <w:lang w:val="en-GB"/>
        </w:rPr>
        <w:t xml:space="preserve"> the public sector.</w:t>
      </w:r>
    </w:p>
    <w:p w14:paraId="49664225" w14:textId="233E7473" w:rsidR="007B3B65" w:rsidRPr="007B3B65" w:rsidRDefault="007B3B65" w:rsidP="007B3B65">
      <w:pPr>
        <w:spacing w:after="0"/>
        <w:rPr>
          <w:lang w:val="en-GB"/>
        </w:rPr>
      </w:pPr>
      <w:r w:rsidRPr="007B3B65">
        <w:rPr>
          <w:lang w:val="en-GB"/>
        </w:rPr>
        <w:lastRenderedPageBreak/>
        <w:t xml:space="preserve">For example, in the banking sector, entities operating in European territory, and particularly those that are specially designated for their relevance, have the </w:t>
      </w:r>
      <w:hyperlink r:id="rId23" w:history="1">
        <w:r w:rsidRPr="00433274">
          <w:rPr>
            <w:color w:val="7030A0"/>
            <w:u w:val="single"/>
            <w:lang w:val="en-GB"/>
          </w:rPr>
          <w:t>obligation to periodically report to the supervisory entity of the European Central Bank</w:t>
        </w:r>
      </w:hyperlink>
      <w:r w:rsidRPr="007B3B65">
        <w:rPr>
          <w:lang w:val="en-GB"/>
        </w:rPr>
        <w:t xml:space="preserve"> a series of data, including </w:t>
      </w:r>
      <w:r w:rsidR="00CD3CA1">
        <w:rPr>
          <w:lang w:val="en-GB"/>
        </w:rPr>
        <w:t>g</w:t>
      </w:r>
      <w:r w:rsidRPr="007B3B65">
        <w:rPr>
          <w:lang w:val="en-GB"/>
        </w:rPr>
        <w:t xml:space="preserve">eneral statistics and more specific data </w:t>
      </w:r>
      <w:r w:rsidR="00CD3CA1">
        <w:rPr>
          <w:lang w:val="en-GB"/>
        </w:rPr>
        <w:t>related to</w:t>
      </w:r>
      <w:r w:rsidRPr="007B3B65">
        <w:rPr>
          <w:lang w:val="en-GB"/>
        </w:rPr>
        <w:t xml:space="preserve"> balance sheets, benefits, capital, asset quality, financing or liquidity. Data that the supervisory entity </w:t>
      </w:r>
      <w:hyperlink r:id="rId24" w:history="1">
        <w:r w:rsidRPr="00433274">
          <w:rPr>
            <w:color w:val="7030A0"/>
            <w:u w:val="single"/>
            <w:lang w:val="en-GB"/>
          </w:rPr>
          <w:t>also makes available to the public</w:t>
        </w:r>
      </w:hyperlink>
      <w:r w:rsidRPr="007B3B65">
        <w:rPr>
          <w:lang w:val="en-GB"/>
        </w:rPr>
        <w:t>, although only in aggregate form.</w:t>
      </w:r>
    </w:p>
    <w:p w14:paraId="0BD2D841" w14:textId="0AB4B890" w:rsidR="00CD3CA1" w:rsidRPr="00CD3CA1" w:rsidRDefault="00CD3CA1" w:rsidP="00731FC7">
      <w:pPr>
        <w:spacing w:after="0"/>
        <w:rPr>
          <w:lang w:val="en-GB"/>
        </w:rPr>
      </w:pPr>
      <w:r w:rsidRPr="00CD3CA1">
        <w:rPr>
          <w:lang w:val="en-GB"/>
        </w:rPr>
        <w:t xml:space="preserve">Another example that affects both the public and private sectors in the commercial sector is the </w:t>
      </w:r>
      <w:hyperlink r:id="rId25" w:history="1">
        <w:r w:rsidRPr="003A2789">
          <w:rPr>
            <w:color w:val="7030A0"/>
            <w:u w:val="single"/>
            <w:lang w:val="en-GB"/>
          </w:rPr>
          <w:t>European regulation on trade between member states</w:t>
        </w:r>
      </w:hyperlink>
      <w:r w:rsidRPr="00CD3CA1">
        <w:rPr>
          <w:lang w:val="en-GB"/>
        </w:rPr>
        <w:t xml:space="preserve">, which also requires providing a series of data on variations, including specific information </w:t>
      </w:r>
      <w:r>
        <w:rPr>
          <w:lang w:val="en-GB"/>
        </w:rPr>
        <w:t>related to</w:t>
      </w:r>
      <w:r w:rsidRPr="00CD3CA1">
        <w:rPr>
          <w:lang w:val="en-GB"/>
        </w:rPr>
        <w:t xml:space="preserve"> the type, value and quantity of specific merchandise, countries of origin and arrival or the mode of transport</w:t>
      </w:r>
      <w:r>
        <w:rPr>
          <w:lang w:val="en-GB"/>
        </w:rPr>
        <w:t>,</w:t>
      </w:r>
      <w:r w:rsidRPr="00CD3CA1">
        <w:rPr>
          <w:lang w:val="en-GB"/>
        </w:rPr>
        <w:t xml:space="preserve"> among others. This data will also be </w:t>
      </w:r>
      <w:hyperlink r:id="rId26" w:history="1">
        <w:r w:rsidRPr="00433274">
          <w:rPr>
            <w:color w:val="7030A0"/>
            <w:u w:val="single"/>
            <w:lang w:val="en-GB"/>
          </w:rPr>
          <w:t>available through Eurostat</w:t>
        </w:r>
      </w:hyperlink>
      <w:r w:rsidRPr="00CD3CA1">
        <w:rPr>
          <w:lang w:val="en-GB"/>
        </w:rPr>
        <w:t>.</w:t>
      </w:r>
    </w:p>
    <w:bookmarkStart w:id="9" w:name="_Toc34134688" w:displacedByCustomXml="next"/>
    <w:bookmarkStart w:id="10" w:name="_Toc30777392" w:displacedByCustomXml="next"/>
    <w:sdt>
      <w:sdtPr>
        <w:tag w:val="goog_rdk_15"/>
        <w:id w:val="-1275861049"/>
      </w:sdtPr>
      <w:sdtEndPr/>
      <w:sdtContent>
        <w:p w14:paraId="1DEF95FA" w14:textId="17C74D1D" w:rsidR="00526D83" w:rsidRPr="00CD3CA1" w:rsidRDefault="00526D83" w:rsidP="006B2E86">
          <w:pPr>
            <w:pStyle w:val="Ttulo3"/>
            <w:numPr>
              <w:ilvl w:val="0"/>
              <w:numId w:val="0"/>
            </w:numPr>
            <w:spacing w:before="240" w:after="0" w:line="360" w:lineRule="auto"/>
            <w:rPr>
              <w:lang w:val="en-GB"/>
            </w:rPr>
          </w:pPr>
          <w:r w:rsidRPr="00CD3CA1">
            <w:rPr>
              <w:lang w:val="en-GB"/>
            </w:rPr>
            <w:t xml:space="preserve">1.1.2 – </w:t>
          </w:r>
          <w:r w:rsidR="00CD3CA1" w:rsidRPr="00CD3CA1">
            <w:rPr>
              <w:lang w:val="en-GB"/>
            </w:rPr>
            <w:t>I</w:t>
          </w:r>
          <w:r w:rsidRPr="00CD3CA1">
            <w:rPr>
              <w:lang w:val="en-GB"/>
            </w:rPr>
            <w:t>nstitu</w:t>
          </w:r>
          <w:r w:rsidR="00CD3CA1" w:rsidRPr="00CD3CA1">
            <w:rPr>
              <w:lang w:val="en-GB"/>
            </w:rPr>
            <w:t>t</w:t>
          </w:r>
          <w:r w:rsidRPr="00CD3CA1">
            <w:rPr>
              <w:lang w:val="en-GB"/>
            </w:rPr>
            <w:t>ional</w:t>
          </w:r>
          <w:r w:rsidR="00CD3CA1" w:rsidRPr="00CD3CA1">
            <w:rPr>
              <w:lang w:val="en-GB"/>
            </w:rPr>
            <w:t xml:space="preserve"> Transparency</w:t>
          </w:r>
        </w:p>
      </w:sdtContent>
    </w:sdt>
    <w:bookmarkEnd w:id="9" w:displacedByCustomXml="prev"/>
    <w:bookmarkEnd w:id="10" w:displacedByCustomXml="prev"/>
    <w:p w14:paraId="7D487093" w14:textId="6C2913D9" w:rsidR="00CD3CA1" w:rsidRPr="00CD3CA1" w:rsidRDefault="00CD3CA1" w:rsidP="00CD3CA1">
      <w:pPr>
        <w:spacing w:after="0"/>
        <w:rPr>
          <w:lang w:val="en-GB"/>
        </w:rPr>
      </w:pPr>
      <w:r w:rsidRPr="00CD3CA1">
        <w:rPr>
          <w:lang w:val="en-GB"/>
        </w:rPr>
        <w:t xml:space="preserve">From the entry into force of the </w:t>
      </w:r>
      <w:hyperlink r:id="rId27" w:history="1">
        <w:r w:rsidRPr="003A2789">
          <w:rPr>
            <w:color w:val="7030A0"/>
            <w:u w:val="single"/>
            <w:lang w:val="en-GB"/>
          </w:rPr>
          <w:t>Law on Transparency, Access to Public Information and Good Governance</w:t>
        </w:r>
      </w:hyperlink>
      <w:r w:rsidRPr="00CD3CA1">
        <w:rPr>
          <w:lang w:val="en-GB"/>
        </w:rPr>
        <w:t>, all entities of the general state administration, the administrations of the autonomous communities and the local administration, as well as other public entities, are required by law to publish a detailed series of periodically</w:t>
      </w:r>
      <w:r w:rsidR="00533369">
        <w:rPr>
          <w:lang w:val="en-GB"/>
        </w:rPr>
        <w:t xml:space="preserve">, </w:t>
      </w:r>
      <w:r w:rsidRPr="00CD3CA1">
        <w:rPr>
          <w:lang w:val="en-GB"/>
        </w:rPr>
        <w:t>updated, clear and free</w:t>
      </w:r>
      <w:r w:rsidR="00533369" w:rsidRPr="00533369">
        <w:rPr>
          <w:lang w:val="en-GB"/>
        </w:rPr>
        <w:t xml:space="preserve"> </w:t>
      </w:r>
      <w:r w:rsidR="00533369" w:rsidRPr="00CD3CA1">
        <w:rPr>
          <w:lang w:val="en-GB"/>
        </w:rPr>
        <w:t>information</w:t>
      </w:r>
      <w:r w:rsidRPr="00CD3CA1">
        <w:rPr>
          <w:lang w:val="en-GB"/>
        </w:rPr>
        <w:t>.</w:t>
      </w:r>
    </w:p>
    <w:p w14:paraId="4F94B3B6" w14:textId="7EEB6403" w:rsidR="00CD3CA1" w:rsidRDefault="00CD3CA1" w:rsidP="00CD3CA1">
      <w:pPr>
        <w:spacing w:after="0"/>
        <w:rPr>
          <w:lang w:val="en-GB"/>
        </w:rPr>
      </w:pPr>
      <w:r w:rsidRPr="00CD3CA1">
        <w:rPr>
          <w:lang w:val="en-GB"/>
        </w:rPr>
        <w:t xml:space="preserve">However, something that usually goes unnoticed is that this law also obliges </w:t>
      </w:r>
      <w:r w:rsidRPr="00533369">
        <w:rPr>
          <w:b/>
          <w:lang w:val="en-GB"/>
        </w:rPr>
        <w:t>any private entity that receives aid or public subsidies</w:t>
      </w:r>
      <w:r w:rsidRPr="00CD3CA1">
        <w:rPr>
          <w:lang w:val="en-GB"/>
        </w:rPr>
        <w:t xml:space="preserve"> in certain amounts to publish a series of institutional, economic, budgetary and statistical information proactively, which includes:</w:t>
      </w:r>
    </w:p>
    <w:p w14:paraId="2768D4C8" w14:textId="77777777" w:rsidR="00533369" w:rsidRPr="003A2789" w:rsidRDefault="00533369" w:rsidP="00CD3CA1">
      <w:pPr>
        <w:spacing w:after="0"/>
        <w:rPr>
          <w:sz w:val="8"/>
          <w:lang w:val="en-GB"/>
        </w:rPr>
      </w:pPr>
    </w:p>
    <w:p w14:paraId="68B33960" w14:textId="334D0932" w:rsidR="00533369" w:rsidRPr="00533369" w:rsidRDefault="00533369" w:rsidP="00533369">
      <w:pPr>
        <w:numPr>
          <w:ilvl w:val="0"/>
          <w:numId w:val="7"/>
        </w:numPr>
        <w:pBdr>
          <w:top w:val="nil"/>
          <w:left w:val="nil"/>
          <w:bottom w:val="nil"/>
          <w:right w:val="nil"/>
          <w:between w:val="nil"/>
        </w:pBdr>
        <w:spacing w:before="0" w:after="0"/>
        <w:jc w:val="left"/>
        <w:rPr>
          <w:lang w:val="en-GB"/>
        </w:rPr>
      </w:pPr>
      <w:r w:rsidRPr="00533369">
        <w:rPr>
          <w:lang w:val="en-GB"/>
        </w:rPr>
        <w:t>Information related to its functions and the applicable regulations.</w:t>
      </w:r>
    </w:p>
    <w:p w14:paraId="3EAD0A4A" w14:textId="54CFFEF7" w:rsidR="00533369" w:rsidRDefault="00533369" w:rsidP="00533369">
      <w:pPr>
        <w:numPr>
          <w:ilvl w:val="0"/>
          <w:numId w:val="7"/>
        </w:numPr>
        <w:pBdr>
          <w:top w:val="nil"/>
          <w:left w:val="nil"/>
          <w:bottom w:val="nil"/>
          <w:right w:val="nil"/>
          <w:between w:val="nil"/>
        </w:pBdr>
        <w:spacing w:before="0" w:after="0"/>
        <w:jc w:val="left"/>
      </w:pPr>
      <w:r>
        <w:t>Organizational structure.</w:t>
      </w:r>
    </w:p>
    <w:p w14:paraId="0F70A0BD" w14:textId="0C6F17DE" w:rsidR="00533369" w:rsidRPr="00533369" w:rsidRDefault="00533369" w:rsidP="00533369">
      <w:pPr>
        <w:numPr>
          <w:ilvl w:val="0"/>
          <w:numId w:val="7"/>
        </w:numPr>
        <w:pBdr>
          <w:top w:val="nil"/>
          <w:left w:val="nil"/>
          <w:bottom w:val="nil"/>
          <w:right w:val="nil"/>
          <w:between w:val="nil"/>
        </w:pBdr>
        <w:spacing w:before="0" w:after="0"/>
        <w:jc w:val="left"/>
        <w:rPr>
          <w:lang w:val="en-GB"/>
        </w:rPr>
      </w:pPr>
      <w:r w:rsidRPr="00533369">
        <w:rPr>
          <w:lang w:val="en-GB"/>
        </w:rPr>
        <w:t>Remuneration of people with greater responsibility.</w:t>
      </w:r>
    </w:p>
    <w:p w14:paraId="6ED31CB1" w14:textId="3EBA396F" w:rsidR="00533369" w:rsidRPr="00533369" w:rsidRDefault="00533369" w:rsidP="00533369">
      <w:pPr>
        <w:numPr>
          <w:ilvl w:val="0"/>
          <w:numId w:val="7"/>
        </w:numPr>
        <w:pBdr>
          <w:top w:val="nil"/>
          <w:left w:val="nil"/>
          <w:bottom w:val="nil"/>
          <w:right w:val="nil"/>
          <w:between w:val="nil"/>
        </w:pBdr>
        <w:spacing w:before="0" w:after="0"/>
        <w:jc w:val="left"/>
        <w:rPr>
          <w:lang w:val="en-GB"/>
        </w:rPr>
      </w:pPr>
      <w:r w:rsidRPr="00533369">
        <w:rPr>
          <w:lang w:val="en-GB"/>
        </w:rPr>
        <w:t>Contracts and agreements, including object, duration, amount and procedures.</w:t>
      </w:r>
    </w:p>
    <w:p w14:paraId="3400AEAF" w14:textId="18492C43" w:rsidR="00533369" w:rsidRDefault="00533369" w:rsidP="00533369">
      <w:pPr>
        <w:numPr>
          <w:ilvl w:val="0"/>
          <w:numId w:val="7"/>
        </w:numPr>
        <w:pBdr>
          <w:top w:val="nil"/>
          <w:left w:val="nil"/>
          <w:bottom w:val="nil"/>
          <w:right w:val="nil"/>
          <w:between w:val="nil"/>
        </w:pBdr>
        <w:spacing w:before="0" w:after="0"/>
        <w:jc w:val="left"/>
      </w:pPr>
      <w:r>
        <w:t>Subsidies and public aid.</w:t>
      </w:r>
    </w:p>
    <w:p w14:paraId="193A3722" w14:textId="3CF95DC5" w:rsidR="00533369" w:rsidRPr="00533369" w:rsidRDefault="00533369" w:rsidP="00533369">
      <w:pPr>
        <w:numPr>
          <w:ilvl w:val="0"/>
          <w:numId w:val="7"/>
        </w:numPr>
        <w:pBdr>
          <w:top w:val="nil"/>
          <w:left w:val="nil"/>
          <w:bottom w:val="nil"/>
          <w:right w:val="nil"/>
          <w:between w:val="nil"/>
        </w:pBdr>
        <w:spacing w:before="0" w:after="0"/>
        <w:jc w:val="left"/>
        <w:rPr>
          <w:lang w:val="en-GB"/>
        </w:rPr>
      </w:pPr>
      <w:r w:rsidRPr="00533369">
        <w:rPr>
          <w:lang w:val="en-GB"/>
        </w:rPr>
        <w:t>Statistics on budget volume, including the main items.</w:t>
      </w:r>
    </w:p>
    <w:p w14:paraId="7D6899C9" w14:textId="35D07291" w:rsidR="00533369" w:rsidRPr="00533369" w:rsidRDefault="00533369" w:rsidP="00533369">
      <w:pPr>
        <w:numPr>
          <w:ilvl w:val="0"/>
          <w:numId w:val="7"/>
        </w:numPr>
        <w:pBdr>
          <w:top w:val="nil"/>
          <w:left w:val="nil"/>
          <w:bottom w:val="nil"/>
          <w:right w:val="nil"/>
          <w:between w:val="nil"/>
        </w:pBdr>
        <w:spacing w:before="0" w:after="0"/>
        <w:jc w:val="left"/>
        <w:rPr>
          <w:lang w:val="en-GB"/>
        </w:rPr>
      </w:pPr>
      <w:r w:rsidRPr="00533369">
        <w:rPr>
          <w:lang w:val="en-GB"/>
        </w:rPr>
        <w:lastRenderedPageBreak/>
        <w:t>Annual accounts and audit reports.</w:t>
      </w:r>
    </w:p>
    <w:p w14:paraId="321A0D1D" w14:textId="382AC5D6" w:rsidR="00533369" w:rsidRPr="00533369" w:rsidRDefault="00533369" w:rsidP="00731FC7">
      <w:pPr>
        <w:spacing w:after="0"/>
        <w:rPr>
          <w:lang w:val="en-GB"/>
        </w:rPr>
      </w:pPr>
      <w:r w:rsidRPr="00533369">
        <w:rPr>
          <w:lang w:val="en-GB"/>
        </w:rPr>
        <w:t xml:space="preserve">In addition, beyond these minimum requirements, </w:t>
      </w:r>
      <w:r w:rsidRPr="00533369">
        <w:rPr>
          <w:b/>
          <w:lang w:val="en-GB"/>
        </w:rPr>
        <w:t>economic and fiscal transparency</w:t>
      </w:r>
      <w:r w:rsidRPr="00533369">
        <w:rPr>
          <w:lang w:val="en-GB"/>
        </w:rPr>
        <w:t xml:space="preserve"> is also a habit that benefits companies when it comes to </w:t>
      </w:r>
      <w:r w:rsidRPr="00533369">
        <w:rPr>
          <w:b/>
          <w:lang w:val="en-GB"/>
        </w:rPr>
        <w:t>building trust and attracting greater investment</w:t>
      </w:r>
      <w:r w:rsidRPr="00533369">
        <w:rPr>
          <w:lang w:val="en-GB"/>
        </w:rPr>
        <w:t xml:space="preserve">. Therefore, it is not surprising that according to the latest </w:t>
      </w:r>
      <w:hyperlink r:id="rId28" w:history="1">
        <w:r w:rsidRPr="00921DF2">
          <w:rPr>
            <w:color w:val="7030A0"/>
            <w:u w:val="single"/>
            <w:lang w:val="en-GB"/>
          </w:rPr>
          <w:t>tax contribution and transparency report</w:t>
        </w:r>
      </w:hyperlink>
      <w:r w:rsidRPr="00533369">
        <w:rPr>
          <w:lang w:val="en-GB"/>
        </w:rPr>
        <w:t>, the transparency and fiscal responsibility practices of IBEX 35 companies have not stopped improving in recent years, thus increasing the amount and detail of the internal information that companies mak</w:t>
      </w:r>
      <w:r>
        <w:rPr>
          <w:lang w:val="en-GB"/>
        </w:rPr>
        <w:t>e</w:t>
      </w:r>
      <w:r w:rsidRPr="00533369">
        <w:rPr>
          <w:lang w:val="en-GB"/>
        </w:rPr>
        <w:t xml:space="preserve"> public</w:t>
      </w:r>
      <w:r>
        <w:rPr>
          <w:lang w:val="en-GB"/>
        </w:rPr>
        <w:t xml:space="preserve"> at the end</w:t>
      </w:r>
      <w:r w:rsidRPr="00533369">
        <w:rPr>
          <w:lang w:val="en-GB"/>
        </w:rPr>
        <w:t>.</w:t>
      </w:r>
    </w:p>
    <w:p w14:paraId="14980E59" w14:textId="5F0B0D89" w:rsidR="00526D83" w:rsidRPr="00533369" w:rsidRDefault="00A249EB" w:rsidP="00B7528C">
      <w:pPr>
        <w:pStyle w:val="Ttulo3"/>
        <w:numPr>
          <w:ilvl w:val="0"/>
          <w:numId w:val="0"/>
        </w:numPr>
        <w:spacing w:before="240" w:after="0" w:line="360" w:lineRule="auto"/>
        <w:ind w:left="720" w:hanging="720"/>
        <w:rPr>
          <w:lang w:val="en-GB"/>
        </w:rPr>
      </w:pPr>
      <w:bookmarkStart w:id="11" w:name="_Toc30777393"/>
      <w:bookmarkStart w:id="12" w:name="_Toc34134689"/>
      <w:r w:rsidRPr="00533369">
        <w:rPr>
          <w:lang w:val="en-GB"/>
        </w:rPr>
        <w:t xml:space="preserve">1.1.3. </w:t>
      </w:r>
      <w:bookmarkEnd w:id="11"/>
      <w:r w:rsidR="00533369" w:rsidRPr="00533369">
        <w:rPr>
          <w:lang w:val="en-GB"/>
        </w:rPr>
        <w:t>Corporate social respons</w:t>
      </w:r>
      <w:r w:rsidR="003651FD">
        <w:rPr>
          <w:lang w:val="en-GB"/>
        </w:rPr>
        <w:t>i</w:t>
      </w:r>
      <w:r w:rsidR="00533369" w:rsidRPr="00533369">
        <w:rPr>
          <w:lang w:val="en-GB"/>
        </w:rPr>
        <w:t>bility</w:t>
      </w:r>
      <w:bookmarkEnd w:id="12"/>
    </w:p>
    <w:p w14:paraId="4645AE18" w14:textId="0A873599" w:rsidR="00533369" w:rsidRPr="00533369" w:rsidRDefault="00533369" w:rsidP="00533369">
      <w:pPr>
        <w:spacing w:after="0"/>
        <w:rPr>
          <w:lang w:val="en-GB"/>
        </w:rPr>
      </w:pPr>
      <w:r w:rsidRPr="00533369">
        <w:rPr>
          <w:lang w:val="en-GB"/>
        </w:rPr>
        <w:t xml:space="preserve">Corporate social responsibility (CSR) refers to a set of </w:t>
      </w:r>
      <w:r w:rsidRPr="00533369">
        <w:rPr>
          <w:b/>
          <w:lang w:val="en-GB"/>
        </w:rPr>
        <w:t>practices, strategies and business management systems whose objective is to achieve a better balance between the economic and social dimensions of companies</w:t>
      </w:r>
      <w:r w:rsidRPr="00533369">
        <w:rPr>
          <w:lang w:val="en-GB"/>
        </w:rPr>
        <w:t xml:space="preserve">, seeking the right and fair balance between the interests of the company and </w:t>
      </w:r>
      <w:r>
        <w:rPr>
          <w:lang w:val="en-GB"/>
        </w:rPr>
        <w:t>the</w:t>
      </w:r>
      <w:r w:rsidRPr="00533369">
        <w:rPr>
          <w:lang w:val="en-GB"/>
        </w:rPr>
        <w:t xml:space="preserve"> society as a whole.</w:t>
      </w:r>
    </w:p>
    <w:p w14:paraId="6105F704" w14:textId="2217A8C1" w:rsidR="00533369" w:rsidRPr="00533369" w:rsidRDefault="00533369" w:rsidP="00533369">
      <w:pPr>
        <w:spacing w:after="0"/>
        <w:rPr>
          <w:lang w:val="en-GB"/>
        </w:rPr>
      </w:pPr>
      <w:r w:rsidRPr="00533369">
        <w:rPr>
          <w:lang w:val="en-GB"/>
        </w:rPr>
        <w:t xml:space="preserve">In general, CSR actions are voluntary, although they often follow good practices and recommendations established by reference organizations such as the </w:t>
      </w:r>
      <w:hyperlink r:id="rId29">
        <w:r w:rsidRPr="00921DF2">
          <w:rPr>
            <w:color w:val="7030A0"/>
            <w:u w:val="single"/>
            <w:lang w:val="en-GB"/>
          </w:rPr>
          <w:t>Global Reporting Initiative</w:t>
        </w:r>
      </w:hyperlink>
      <w:r w:rsidRPr="00921DF2">
        <w:rPr>
          <w:color w:val="7030A0"/>
          <w:lang w:val="en-GB"/>
        </w:rPr>
        <w:t xml:space="preserve"> </w:t>
      </w:r>
      <w:r>
        <w:rPr>
          <w:lang w:val="en-GB"/>
        </w:rPr>
        <w:t>o</w:t>
      </w:r>
      <w:r w:rsidRPr="00533369">
        <w:rPr>
          <w:lang w:val="en-GB"/>
        </w:rPr>
        <w:t xml:space="preserve">r the </w:t>
      </w:r>
      <w:hyperlink r:id="rId30" w:history="1">
        <w:r w:rsidRPr="00921DF2">
          <w:rPr>
            <w:color w:val="7030A0"/>
            <w:u w:val="single"/>
            <w:lang w:val="en-GB"/>
          </w:rPr>
          <w:t>Sustainable Development Goals</w:t>
        </w:r>
      </w:hyperlink>
      <w:r w:rsidRPr="00533369">
        <w:rPr>
          <w:lang w:val="en-GB"/>
        </w:rPr>
        <w:t xml:space="preserve">. However, the recent entry into force of the so-called </w:t>
      </w:r>
      <w:hyperlink r:id="rId31" w:history="1">
        <w:r w:rsidRPr="00921DF2">
          <w:rPr>
            <w:color w:val="7030A0"/>
            <w:u w:val="single"/>
            <w:lang w:val="en-GB"/>
          </w:rPr>
          <w:t>non-financial information law</w:t>
        </w:r>
      </w:hyperlink>
      <w:r w:rsidRPr="00533369">
        <w:rPr>
          <w:lang w:val="en-GB"/>
        </w:rPr>
        <w:t xml:space="preserve"> opens a whole new world of possibilities in this area by establishing that </w:t>
      </w:r>
      <w:r w:rsidR="006C2876">
        <w:rPr>
          <w:lang w:val="en-GB"/>
        </w:rPr>
        <w:t>big</w:t>
      </w:r>
      <w:r w:rsidRPr="00533369">
        <w:rPr>
          <w:lang w:val="en-GB"/>
        </w:rPr>
        <w:t xml:space="preserve"> companies - based on certain employee and billing margins - must share </w:t>
      </w:r>
      <w:r w:rsidR="00921DF2">
        <w:rPr>
          <w:lang w:val="en-GB"/>
        </w:rPr>
        <w:t>a</w:t>
      </w:r>
      <w:r w:rsidRPr="00533369">
        <w:rPr>
          <w:lang w:val="en-GB"/>
        </w:rPr>
        <w:t xml:space="preserve"> minimum information regarding </w:t>
      </w:r>
      <w:r w:rsidR="006C2876">
        <w:rPr>
          <w:lang w:val="en-GB"/>
        </w:rPr>
        <w:t>t</w:t>
      </w:r>
      <w:r w:rsidRPr="00533369">
        <w:rPr>
          <w:lang w:val="en-GB"/>
        </w:rPr>
        <w:t>he impact of their activities in areas such as:</w:t>
      </w:r>
    </w:p>
    <w:p w14:paraId="74920597" w14:textId="53A415E0" w:rsidR="00526D83" w:rsidRPr="006C2876" w:rsidRDefault="00D927CF" w:rsidP="00D927CF">
      <w:pPr>
        <w:pBdr>
          <w:top w:val="nil"/>
          <w:left w:val="nil"/>
          <w:bottom w:val="nil"/>
          <w:right w:val="nil"/>
          <w:between w:val="nil"/>
        </w:pBdr>
        <w:spacing w:after="0"/>
        <w:ind w:left="720"/>
        <w:rPr>
          <w:lang w:val="en-GB"/>
        </w:rPr>
      </w:pPr>
      <w:r>
        <w:rPr>
          <w:b/>
          <w:noProof/>
          <w:color w:val="000000"/>
        </w:rPr>
        <w:drawing>
          <wp:anchor distT="0" distB="0" distL="114300" distR="114300" simplePos="0" relativeHeight="251660288" behindDoc="0" locked="0" layoutInCell="1" allowOverlap="1" wp14:anchorId="108EC23F" wp14:editId="1817E940">
            <wp:simplePos x="0" y="0"/>
            <wp:positionH relativeFrom="column">
              <wp:posOffset>498475</wp:posOffset>
            </wp:positionH>
            <wp:positionV relativeFrom="paragraph">
              <wp:posOffset>280035</wp:posOffset>
            </wp:positionV>
            <wp:extent cx="467360" cy="467360"/>
            <wp:effectExtent l="0" t="0" r="0" b="0"/>
            <wp:wrapSquare wrapText="bothSides"/>
            <wp:docPr id="10" name="Gráfico 10" descr="Pirámide con nive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mediafile_PcCM6E.svg"/>
                    <pic:cNvPicPr/>
                  </pic:nvPicPr>
                  <pic:blipFill>
                    <a:blip r:embed="rId32">
                      <a:extLst>
                        <a:ext uri="{28A0092B-C50C-407E-A947-70E740481C1C}">
                          <a14:useLocalDpi xmlns:a14="http://schemas.microsoft.com/office/drawing/2010/main" val="0"/>
                        </a:ext>
                        <a:ext uri="{96DAC541-7B7A-43D3-8B79-37D633B846F1}">
                          <asvg:svgBlip xmlns:asvg="http://schemas.microsoft.com/office/drawing/2016/SVG/main" r:embed="rId33"/>
                        </a:ext>
                      </a:extLst>
                    </a:blip>
                    <a:stretch>
                      <a:fillRect/>
                    </a:stretch>
                  </pic:blipFill>
                  <pic:spPr>
                    <a:xfrm>
                      <a:off x="0" y="0"/>
                      <a:ext cx="467360" cy="467360"/>
                    </a:xfrm>
                    <a:prstGeom prst="rect">
                      <a:avLst/>
                    </a:prstGeom>
                  </pic:spPr>
                </pic:pic>
              </a:graphicData>
            </a:graphic>
            <wp14:sizeRelH relativeFrom="page">
              <wp14:pctWidth>0</wp14:pctWidth>
            </wp14:sizeRelH>
            <wp14:sizeRelV relativeFrom="page">
              <wp14:pctHeight>0</wp14:pctHeight>
            </wp14:sizeRelV>
          </wp:anchor>
        </w:drawing>
      </w:r>
      <w:r w:rsidR="006C2876" w:rsidRPr="006C2876">
        <w:rPr>
          <w:b/>
          <w:color w:val="000000"/>
          <w:lang w:val="en-GB"/>
        </w:rPr>
        <w:t>Non-financial economic issues:</w:t>
      </w:r>
      <w:r w:rsidR="006C2876" w:rsidRPr="006C2876">
        <w:rPr>
          <w:color w:val="000000"/>
          <w:lang w:val="en-GB"/>
        </w:rPr>
        <w:t xml:space="preserve"> including information on the business model, business relationships, risks related to the activity, prevention of corruption and other non-financial indicators.</w:t>
      </w:r>
    </w:p>
    <w:p w14:paraId="20ED688B" w14:textId="2ACC9021" w:rsidR="00526D83" w:rsidRPr="006C2876" w:rsidRDefault="00AC6311" w:rsidP="00AC6311">
      <w:pPr>
        <w:pBdr>
          <w:top w:val="nil"/>
          <w:left w:val="nil"/>
          <w:bottom w:val="nil"/>
          <w:right w:val="nil"/>
          <w:between w:val="nil"/>
        </w:pBdr>
        <w:spacing w:after="0"/>
        <w:ind w:left="720"/>
        <w:rPr>
          <w:lang w:val="en-GB"/>
        </w:rPr>
      </w:pPr>
      <w:r>
        <w:rPr>
          <w:b/>
          <w:noProof/>
          <w:color w:val="000000"/>
        </w:rPr>
        <w:drawing>
          <wp:anchor distT="0" distB="0" distL="114300" distR="114300" simplePos="0" relativeHeight="251662336" behindDoc="0" locked="0" layoutInCell="1" allowOverlap="1" wp14:anchorId="0774D3F2" wp14:editId="7A74261B">
            <wp:simplePos x="0" y="0"/>
            <wp:positionH relativeFrom="column">
              <wp:posOffset>498475</wp:posOffset>
            </wp:positionH>
            <wp:positionV relativeFrom="paragraph">
              <wp:posOffset>264160</wp:posOffset>
            </wp:positionV>
            <wp:extent cx="509905" cy="509905"/>
            <wp:effectExtent l="0" t="0" r="0" b="0"/>
            <wp:wrapSquare wrapText="bothSides"/>
            <wp:docPr id="13" name="Gráfico 13" descr="Mun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ediafile_lDn1lO.svg"/>
                    <pic:cNvPicPr/>
                  </pic:nvPicPr>
                  <pic:blipFill>
                    <a:blip r:embed="rId34">
                      <a:extLst>
                        <a:ext uri="{28A0092B-C50C-407E-A947-70E740481C1C}">
                          <a14:useLocalDpi xmlns:a14="http://schemas.microsoft.com/office/drawing/2010/main" val="0"/>
                        </a:ext>
                        <a:ext uri="{96DAC541-7B7A-43D3-8B79-37D633B846F1}">
                          <asvg:svgBlip xmlns:asvg="http://schemas.microsoft.com/office/drawing/2016/SVG/main" r:embed="rId35"/>
                        </a:ext>
                      </a:extLst>
                    </a:blip>
                    <a:stretch>
                      <a:fillRect/>
                    </a:stretch>
                  </pic:blipFill>
                  <pic:spPr>
                    <a:xfrm>
                      <a:off x="0" y="0"/>
                      <a:ext cx="509905" cy="509905"/>
                    </a:xfrm>
                    <a:prstGeom prst="rect">
                      <a:avLst/>
                    </a:prstGeom>
                  </pic:spPr>
                </pic:pic>
              </a:graphicData>
            </a:graphic>
            <wp14:sizeRelH relativeFrom="page">
              <wp14:pctWidth>0</wp14:pctWidth>
            </wp14:sizeRelH>
            <wp14:sizeRelV relativeFrom="page">
              <wp14:pctHeight>0</wp14:pctHeight>
            </wp14:sizeRelV>
          </wp:anchor>
        </w:drawing>
      </w:r>
      <w:r w:rsidR="006C2876" w:rsidRPr="006C2876">
        <w:rPr>
          <w:b/>
          <w:color w:val="000000"/>
          <w:lang w:val="en-GB"/>
        </w:rPr>
        <w:t>Development issues:</w:t>
      </w:r>
      <w:r w:rsidR="006C2876" w:rsidRPr="006C2876">
        <w:rPr>
          <w:color w:val="000000"/>
          <w:lang w:val="en-GB"/>
        </w:rPr>
        <w:t xml:space="preserve"> including commitments related to sustainable development and</w:t>
      </w:r>
      <w:r w:rsidR="006C2876">
        <w:rPr>
          <w:color w:val="000000"/>
          <w:lang w:val="en-GB"/>
        </w:rPr>
        <w:t xml:space="preserve"> the</w:t>
      </w:r>
      <w:r w:rsidR="006C2876" w:rsidRPr="006C2876">
        <w:rPr>
          <w:color w:val="000000"/>
          <w:lang w:val="en-GB"/>
        </w:rPr>
        <w:t xml:space="preserve"> application of social and environmental policies to suppliers and consumers relations.</w:t>
      </w:r>
    </w:p>
    <w:p w14:paraId="4ED06B8B" w14:textId="0D1823A2" w:rsidR="00526D83" w:rsidRPr="006C2876" w:rsidRDefault="00D927CF" w:rsidP="00D927CF">
      <w:pPr>
        <w:pBdr>
          <w:top w:val="nil"/>
          <w:left w:val="nil"/>
          <w:bottom w:val="nil"/>
          <w:right w:val="nil"/>
          <w:between w:val="nil"/>
        </w:pBdr>
        <w:spacing w:after="0"/>
        <w:ind w:left="720"/>
        <w:rPr>
          <w:lang w:val="en-GB"/>
        </w:rPr>
      </w:pPr>
      <w:r>
        <w:rPr>
          <w:b/>
          <w:noProof/>
          <w:color w:val="000000"/>
        </w:rPr>
        <w:lastRenderedPageBreak/>
        <w:drawing>
          <wp:anchor distT="0" distB="0" distL="114300" distR="114300" simplePos="0" relativeHeight="251661312" behindDoc="0" locked="0" layoutInCell="1" allowOverlap="1" wp14:anchorId="3E8D0447" wp14:editId="46DC7237">
            <wp:simplePos x="0" y="0"/>
            <wp:positionH relativeFrom="column">
              <wp:posOffset>516890</wp:posOffset>
            </wp:positionH>
            <wp:positionV relativeFrom="paragraph">
              <wp:posOffset>129540</wp:posOffset>
            </wp:positionV>
            <wp:extent cx="467360" cy="467360"/>
            <wp:effectExtent l="0" t="0" r="8890" b="8890"/>
            <wp:wrapSquare wrapText="bothSides"/>
            <wp:docPr id="11" name="Gráfico 11" descr="Sostenibilid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mediafile_diEnKo.svg"/>
                    <pic:cNvPicPr/>
                  </pic:nvPicPr>
                  <pic:blipFill>
                    <a:blip r:embed="rId36">
                      <a:extLst>
                        <a:ext uri="{28A0092B-C50C-407E-A947-70E740481C1C}">
                          <a14:useLocalDpi xmlns:a14="http://schemas.microsoft.com/office/drawing/2010/main" val="0"/>
                        </a:ext>
                        <a:ext uri="{96DAC541-7B7A-43D3-8B79-37D633B846F1}">
                          <asvg:svgBlip xmlns:asvg="http://schemas.microsoft.com/office/drawing/2016/SVG/main" r:embed="rId37"/>
                        </a:ext>
                      </a:extLst>
                    </a:blip>
                    <a:stretch>
                      <a:fillRect/>
                    </a:stretch>
                  </pic:blipFill>
                  <pic:spPr>
                    <a:xfrm>
                      <a:off x="0" y="0"/>
                      <a:ext cx="467360" cy="467360"/>
                    </a:xfrm>
                    <a:prstGeom prst="rect">
                      <a:avLst/>
                    </a:prstGeom>
                  </pic:spPr>
                </pic:pic>
              </a:graphicData>
            </a:graphic>
            <wp14:sizeRelH relativeFrom="page">
              <wp14:pctWidth>0</wp14:pctWidth>
            </wp14:sizeRelH>
            <wp14:sizeRelV relativeFrom="page">
              <wp14:pctHeight>0</wp14:pctHeight>
            </wp14:sizeRelV>
          </wp:anchor>
        </w:drawing>
      </w:r>
      <w:r w:rsidR="006C2876" w:rsidRPr="006C2876">
        <w:rPr>
          <w:b/>
          <w:color w:val="000000"/>
          <w:lang w:val="en-GB"/>
        </w:rPr>
        <w:t>Environmental issues:</w:t>
      </w:r>
      <w:r w:rsidR="006C2876" w:rsidRPr="006C2876">
        <w:rPr>
          <w:color w:val="000000"/>
          <w:lang w:val="en-GB"/>
        </w:rPr>
        <w:t xml:space="preserve"> including actions related to pollution, waste management, sustainable use of resources, climate change and biodiversity protection.</w:t>
      </w:r>
    </w:p>
    <w:p w14:paraId="2CBAA58A" w14:textId="377564EB" w:rsidR="00526D83" w:rsidRPr="006C2876" w:rsidRDefault="00945986" w:rsidP="00945986">
      <w:pPr>
        <w:pBdr>
          <w:top w:val="nil"/>
          <w:left w:val="nil"/>
          <w:bottom w:val="nil"/>
          <w:right w:val="nil"/>
          <w:between w:val="nil"/>
        </w:pBdr>
        <w:spacing w:after="0"/>
        <w:ind w:left="720"/>
        <w:rPr>
          <w:lang w:val="en-GB"/>
        </w:rPr>
      </w:pPr>
      <w:r>
        <w:rPr>
          <w:b/>
          <w:noProof/>
          <w:color w:val="000000"/>
        </w:rPr>
        <w:drawing>
          <wp:anchor distT="0" distB="0" distL="114300" distR="114300" simplePos="0" relativeHeight="251663360" behindDoc="0" locked="0" layoutInCell="1" allowOverlap="1" wp14:anchorId="64C2FE73" wp14:editId="340F4212">
            <wp:simplePos x="0" y="0"/>
            <wp:positionH relativeFrom="column">
              <wp:posOffset>481965</wp:posOffset>
            </wp:positionH>
            <wp:positionV relativeFrom="paragraph">
              <wp:posOffset>262255</wp:posOffset>
            </wp:positionV>
            <wp:extent cx="509905" cy="509905"/>
            <wp:effectExtent l="0" t="0" r="4445" b="0"/>
            <wp:wrapSquare wrapText="bothSides"/>
            <wp:docPr id="14" name="Gráfico 14" descr="Acceso univers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mediafile_bm38Fp.svg"/>
                    <pic:cNvPicPr/>
                  </pic:nvPicPr>
                  <pic:blipFill>
                    <a:blip r:embed="rId38">
                      <a:extLst>
                        <a:ext uri="{28A0092B-C50C-407E-A947-70E740481C1C}">
                          <a14:useLocalDpi xmlns:a14="http://schemas.microsoft.com/office/drawing/2010/main" val="0"/>
                        </a:ext>
                        <a:ext uri="{96DAC541-7B7A-43D3-8B79-37D633B846F1}">
                          <asvg:svgBlip xmlns:asvg="http://schemas.microsoft.com/office/drawing/2016/SVG/main" r:embed="rId39"/>
                        </a:ext>
                      </a:extLst>
                    </a:blip>
                    <a:stretch>
                      <a:fillRect/>
                    </a:stretch>
                  </pic:blipFill>
                  <pic:spPr>
                    <a:xfrm>
                      <a:off x="0" y="0"/>
                      <a:ext cx="509905" cy="509905"/>
                    </a:xfrm>
                    <a:prstGeom prst="rect">
                      <a:avLst/>
                    </a:prstGeom>
                  </pic:spPr>
                </pic:pic>
              </a:graphicData>
            </a:graphic>
            <wp14:sizeRelH relativeFrom="page">
              <wp14:pctWidth>0</wp14:pctWidth>
            </wp14:sizeRelH>
            <wp14:sizeRelV relativeFrom="page">
              <wp14:pctHeight>0</wp14:pctHeight>
            </wp14:sizeRelV>
          </wp:anchor>
        </w:drawing>
      </w:r>
      <w:r w:rsidR="006C2876" w:rsidRPr="006C2876">
        <w:rPr>
          <w:b/>
          <w:color w:val="000000"/>
          <w:lang w:val="en-GB"/>
        </w:rPr>
        <w:t>Social and personnel issues:</w:t>
      </w:r>
      <w:r w:rsidR="006C2876" w:rsidRPr="006C2876">
        <w:rPr>
          <w:color w:val="000000"/>
          <w:lang w:val="en-GB"/>
        </w:rPr>
        <w:t xml:space="preserve"> including measures related to the organization of work, health, safety, social relations, training, accessibility, equality and diversity.</w:t>
      </w:r>
    </w:p>
    <w:p w14:paraId="0F6D6425" w14:textId="7F6E9EAA" w:rsidR="00526D83" w:rsidRPr="006C2876" w:rsidRDefault="00945986" w:rsidP="00921DF2">
      <w:pPr>
        <w:pBdr>
          <w:top w:val="nil"/>
          <w:left w:val="nil"/>
          <w:bottom w:val="nil"/>
          <w:right w:val="nil"/>
          <w:between w:val="nil"/>
        </w:pBdr>
        <w:spacing w:after="0"/>
        <w:ind w:left="720"/>
        <w:rPr>
          <w:lang w:val="en-GB"/>
        </w:rPr>
      </w:pPr>
      <w:r>
        <w:rPr>
          <w:b/>
          <w:noProof/>
          <w:color w:val="000000"/>
        </w:rPr>
        <w:drawing>
          <wp:anchor distT="0" distB="0" distL="114300" distR="114300" simplePos="0" relativeHeight="251664384" behindDoc="0" locked="0" layoutInCell="1" allowOverlap="1" wp14:anchorId="3F8DE319" wp14:editId="5334A0EE">
            <wp:simplePos x="0" y="0"/>
            <wp:positionH relativeFrom="column">
              <wp:posOffset>475615</wp:posOffset>
            </wp:positionH>
            <wp:positionV relativeFrom="paragraph">
              <wp:posOffset>216535</wp:posOffset>
            </wp:positionV>
            <wp:extent cx="531495" cy="531495"/>
            <wp:effectExtent l="0" t="0" r="1905" b="0"/>
            <wp:wrapSquare wrapText="bothSides"/>
            <wp:docPr id="15" name="Gráfico 15" descr="Reun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mediafile_7IB98x.svg"/>
                    <pic:cNvPicPr/>
                  </pic:nvPicPr>
                  <pic:blipFill>
                    <a:blip r:embed="rId40">
                      <a:extLst>
                        <a:ext uri="{28A0092B-C50C-407E-A947-70E740481C1C}">
                          <a14:useLocalDpi xmlns:a14="http://schemas.microsoft.com/office/drawing/2010/main" val="0"/>
                        </a:ext>
                        <a:ext uri="{96DAC541-7B7A-43D3-8B79-37D633B846F1}">
                          <asvg:svgBlip xmlns:asvg="http://schemas.microsoft.com/office/drawing/2016/SVG/main" r:embed="rId41"/>
                        </a:ext>
                      </a:extLst>
                    </a:blip>
                    <a:stretch>
                      <a:fillRect/>
                    </a:stretch>
                  </pic:blipFill>
                  <pic:spPr>
                    <a:xfrm>
                      <a:off x="0" y="0"/>
                      <a:ext cx="531495" cy="531495"/>
                    </a:xfrm>
                    <a:prstGeom prst="rect">
                      <a:avLst/>
                    </a:prstGeom>
                  </pic:spPr>
                </pic:pic>
              </a:graphicData>
            </a:graphic>
            <wp14:sizeRelH relativeFrom="page">
              <wp14:pctWidth>0</wp14:pctWidth>
            </wp14:sizeRelH>
            <wp14:sizeRelV relativeFrom="page">
              <wp14:pctHeight>0</wp14:pctHeight>
            </wp14:sizeRelV>
          </wp:anchor>
        </w:drawing>
      </w:r>
      <w:r w:rsidR="006C2876" w:rsidRPr="006C2876">
        <w:rPr>
          <w:b/>
          <w:color w:val="000000"/>
          <w:lang w:val="en-GB"/>
        </w:rPr>
        <w:t>Issues related to human rights:</w:t>
      </w:r>
      <w:r w:rsidR="006C2876" w:rsidRPr="006C2876">
        <w:rPr>
          <w:color w:val="000000"/>
          <w:lang w:val="en-GB"/>
        </w:rPr>
        <w:t xml:space="preserve"> including compliance with international conventions and measures to prevent and manage abuse and discrimination</w:t>
      </w:r>
      <w:r w:rsidR="006C2876">
        <w:rPr>
          <w:color w:val="000000"/>
          <w:lang w:val="en-GB"/>
        </w:rPr>
        <w:t>.</w:t>
      </w:r>
    </w:p>
    <w:p w14:paraId="7DA9F19B" w14:textId="2C0C1645" w:rsidR="006C2876" w:rsidRPr="006C2876" w:rsidRDefault="006C2876" w:rsidP="00731FC7">
      <w:pPr>
        <w:spacing w:after="0"/>
        <w:rPr>
          <w:lang w:val="en-GB"/>
        </w:rPr>
      </w:pPr>
      <w:r w:rsidRPr="006C2876">
        <w:rPr>
          <w:lang w:val="en-GB"/>
        </w:rPr>
        <w:t xml:space="preserve">According to </w:t>
      </w:r>
      <w:hyperlink r:id="rId42" w:history="1">
        <w:r w:rsidRPr="00433274">
          <w:rPr>
            <w:color w:val="7030A0"/>
            <w:lang w:val="en-GB"/>
          </w:rPr>
          <w:t>t</w:t>
        </w:r>
        <w:r w:rsidRPr="00433274">
          <w:rPr>
            <w:color w:val="7030A0"/>
            <w:u w:val="single"/>
            <w:lang w:val="en-GB"/>
          </w:rPr>
          <w:t>he latest report of the Observatory of Corporate Social Responsibility</w:t>
        </w:r>
      </w:hyperlink>
      <w:r w:rsidRPr="006C2876">
        <w:rPr>
          <w:lang w:val="en-GB"/>
        </w:rPr>
        <w:t>, at the moment</w:t>
      </w:r>
      <w:r>
        <w:rPr>
          <w:lang w:val="en-GB"/>
        </w:rPr>
        <w:t>,</w:t>
      </w:r>
      <w:r w:rsidRPr="006C2876">
        <w:rPr>
          <w:lang w:val="en-GB"/>
        </w:rPr>
        <w:t xml:space="preserve"> the non-financial information law is not leading to a substantial improvement in the information provided by IBEX 35 companies</w:t>
      </w:r>
      <w:r>
        <w:rPr>
          <w:lang w:val="en-GB"/>
        </w:rPr>
        <w:t>. H</w:t>
      </w:r>
      <w:r w:rsidRPr="006C2876">
        <w:rPr>
          <w:lang w:val="en-GB"/>
        </w:rPr>
        <w:t>owever, it is expected that this situation will improve soon as we get closer to the limit for the total implementation of said law in the year 2021.</w:t>
      </w:r>
    </w:p>
    <w:p w14:paraId="66AB7638" w14:textId="2B30A896" w:rsidR="006C2876" w:rsidRPr="006C2876" w:rsidRDefault="006C2876" w:rsidP="00731FC7">
      <w:pPr>
        <w:spacing w:after="0"/>
        <w:rPr>
          <w:lang w:val="en-GB"/>
        </w:rPr>
      </w:pPr>
      <w:r w:rsidRPr="006C2876">
        <w:rPr>
          <w:lang w:val="en-GB"/>
        </w:rPr>
        <w:t xml:space="preserve">On the other hand, there is no doubt that there is also a growing global awareness in social, economic and environmental material that is forcing corporate organizations to clearly show their responsibility not only towards their shareholders, but also towards employees, customers and communities in which they are implanted and thanks to which they thrive. </w:t>
      </w:r>
      <w:r w:rsidR="00212BC4">
        <w:rPr>
          <w:lang w:val="en-GB"/>
        </w:rPr>
        <w:t>As a consequence</w:t>
      </w:r>
      <w:r w:rsidRPr="006C2876">
        <w:rPr>
          <w:lang w:val="en-GB"/>
        </w:rPr>
        <w:t>, for example, the vast majority of S&amp;P 500 companies are also publishing their own corporate social responsibility report</w:t>
      </w:r>
      <w:r w:rsidR="00212BC4">
        <w:rPr>
          <w:lang w:val="en-GB"/>
        </w:rPr>
        <w:t xml:space="preserve">s </w:t>
      </w:r>
      <w:r w:rsidRPr="006C2876">
        <w:rPr>
          <w:lang w:val="en-GB"/>
        </w:rPr>
        <w:t xml:space="preserve">(in the absence of a similar legal obligation), and sometimes even going much further with more complete thematic initiatives such as </w:t>
      </w:r>
      <w:hyperlink r:id="rId43" w:history="1">
        <w:r w:rsidRPr="00921DF2">
          <w:rPr>
            <w:color w:val="7030A0"/>
            <w:u w:val="single"/>
            <w:lang w:val="en-GB"/>
          </w:rPr>
          <w:t>Uber mobility portal</w:t>
        </w:r>
      </w:hyperlink>
      <w:r w:rsidRPr="006C2876">
        <w:rPr>
          <w:lang w:val="en-GB"/>
        </w:rPr>
        <w:t xml:space="preserve"> or </w:t>
      </w:r>
      <w:hyperlink r:id="rId44" w:history="1">
        <w:r w:rsidRPr="00921DF2">
          <w:rPr>
            <w:color w:val="7030A0"/>
            <w:u w:val="single"/>
            <w:lang w:val="en-GB"/>
          </w:rPr>
          <w:t>the environmental initiative of the French rail operator SNFC</w:t>
        </w:r>
      </w:hyperlink>
      <w:r w:rsidRPr="006C2876">
        <w:rPr>
          <w:lang w:val="en-GB"/>
        </w:rPr>
        <w:t>.</w:t>
      </w:r>
    </w:p>
    <w:p w14:paraId="762F082B" w14:textId="4A1F6619" w:rsidR="00526D83" w:rsidRDefault="00526D83" w:rsidP="00D72FD2">
      <w:pPr>
        <w:pStyle w:val="Ttulo3"/>
        <w:numPr>
          <w:ilvl w:val="2"/>
          <w:numId w:val="10"/>
        </w:numPr>
        <w:spacing w:before="240" w:after="0" w:line="360" w:lineRule="auto"/>
      </w:pPr>
      <w:bookmarkStart w:id="13" w:name="_Toc30777394"/>
      <w:bookmarkStart w:id="14" w:name="_Toc34134690"/>
      <w:r>
        <w:t xml:space="preserve">– </w:t>
      </w:r>
      <w:sdt>
        <w:sdtPr>
          <w:tag w:val="goog_rdk_16"/>
          <w:id w:val="733050276"/>
        </w:sdtPr>
        <w:sdtEndPr/>
        <w:sdtContent/>
      </w:sdt>
      <w:sdt>
        <w:sdtPr>
          <w:tag w:val="goog_rdk_17"/>
          <w:id w:val="1897313526"/>
        </w:sdtPr>
        <w:sdtEndPr/>
        <w:sdtContent/>
      </w:sdt>
      <w:bookmarkEnd w:id="13"/>
      <w:r w:rsidR="00212BC4" w:rsidRPr="00212BC4">
        <w:t>Data philanthropy</w:t>
      </w:r>
      <w:bookmarkEnd w:id="14"/>
    </w:p>
    <w:p w14:paraId="0C2598B4" w14:textId="20FE4D79" w:rsidR="00212BC4" w:rsidRPr="00212BC4" w:rsidRDefault="00212BC4" w:rsidP="00212BC4">
      <w:pPr>
        <w:spacing w:after="0"/>
        <w:rPr>
          <w:lang w:val="en-GB"/>
        </w:rPr>
      </w:pPr>
      <w:r w:rsidRPr="00212BC4">
        <w:rPr>
          <w:lang w:val="en-GB"/>
        </w:rPr>
        <w:t xml:space="preserve">The philanthropy of the data (current also known as </w:t>
      </w:r>
      <w:r w:rsidRPr="00212BC4">
        <w:rPr>
          <w:i/>
          <w:lang w:val="en-GB"/>
        </w:rPr>
        <w:t>data charities</w:t>
      </w:r>
      <w:r w:rsidRPr="00212BC4">
        <w:rPr>
          <w:lang w:val="en-GB"/>
        </w:rPr>
        <w:t xml:space="preserve"> or </w:t>
      </w:r>
      <w:r w:rsidRPr="00212BC4">
        <w:rPr>
          <w:i/>
          <w:lang w:val="en-GB"/>
        </w:rPr>
        <w:t>data for good</w:t>
      </w:r>
      <w:r w:rsidRPr="00212BC4">
        <w:rPr>
          <w:lang w:val="en-GB"/>
        </w:rPr>
        <w:t xml:space="preserve">) is a new form of </w:t>
      </w:r>
      <w:r w:rsidRPr="00212BC4">
        <w:rPr>
          <w:b/>
          <w:lang w:val="en-GB"/>
        </w:rPr>
        <w:t>altruism</w:t>
      </w:r>
      <w:r w:rsidRPr="00212BC4">
        <w:rPr>
          <w:lang w:val="en-GB"/>
        </w:rPr>
        <w:t xml:space="preserve"> through which </w:t>
      </w:r>
      <w:r w:rsidRPr="00212BC4">
        <w:rPr>
          <w:b/>
          <w:lang w:val="en-GB"/>
        </w:rPr>
        <w:t>private companies decide to transfer a part of their data to third parties temporarily or permanently seeking to contribute to a common social good</w:t>
      </w:r>
      <w:r w:rsidRPr="00212BC4">
        <w:rPr>
          <w:lang w:val="en-GB"/>
        </w:rPr>
        <w:t xml:space="preserve"> that</w:t>
      </w:r>
      <w:r>
        <w:rPr>
          <w:lang w:val="en-GB"/>
        </w:rPr>
        <w:t>, i</w:t>
      </w:r>
      <w:r w:rsidRPr="00212BC4">
        <w:rPr>
          <w:lang w:val="en-GB"/>
        </w:rPr>
        <w:t>n principle</w:t>
      </w:r>
      <w:r>
        <w:rPr>
          <w:lang w:val="en-GB"/>
        </w:rPr>
        <w:t xml:space="preserve">, </w:t>
      </w:r>
      <w:r w:rsidRPr="00212BC4">
        <w:rPr>
          <w:lang w:val="en-GB"/>
        </w:rPr>
        <w:t xml:space="preserve">has no relation to its main activity, all without </w:t>
      </w:r>
      <w:r w:rsidRPr="00212BC4">
        <w:rPr>
          <w:lang w:val="en-GB"/>
        </w:rPr>
        <w:lastRenderedPageBreak/>
        <w:t xml:space="preserve">having any particular obligation in this regard. In return, these companies can obtain added value not only </w:t>
      </w:r>
      <w:r w:rsidR="00921DF2">
        <w:rPr>
          <w:lang w:val="en-GB"/>
        </w:rPr>
        <w:t xml:space="preserve">due to </w:t>
      </w:r>
      <w:r w:rsidRPr="00212BC4">
        <w:rPr>
          <w:lang w:val="en-GB"/>
        </w:rPr>
        <w:t>the positive image that is obtained, but</w:t>
      </w:r>
      <w:r>
        <w:rPr>
          <w:lang w:val="en-GB"/>
        </w:rPr>
        <w:t xml:space="preserve"> also</w:t>
      </w:r>
      <w:r w:rsidRPr="00212BC4">
        <w:rPr>
          <w:lang w:val="en-GB"/>
        </w:rPr>
        <w:t xml:space="preserve"> because that social improvement usually also leads to a general improvement of the environment </w:t>
      </w:r>
      <w:r>
        <w:rPr>
          <w:lang w:val="en-GB"/>
        </w:rPr>
        <w:t>in</w:t>
      </w:r>
      <w:r w:rsidRPr="00212BC4">
        <w:rPr>
          <w:lang w:val="en-GB"/>
        </w:rPr>
        <w:t xml:space="preserve"> which their business operates</w:t>
      </w:r>
      <w:r>
        <w:rPr>
          <w:lang w:val="en-GB"/>
        </w:rPr>
        <w:t>,</w:t>
      </w:r>
      <w:r w:rsidRPr="00212BC4">
        <w:rPr>
          <w:lang w:val="en-GB"/>
        </w:rPr>
        <w:t xml:space="preserve"> that will directly benefit them.</w:t>
      </w:r>
    </w:p>
    <w:p w14:paraId="7CC7E3C1" w14:textId="1CD35697" w:rsidR="00212BC4" w:rsidRPr="00212BC4" w:rsidRDefault="00212BC4" w:rsidP="00212BC4">
      <w:pPr>
        <w:spacing w:after="0"/>
        <w:rPr>
          <w:lang w:val="en-GB"/>
        </w:rPr>
      </w:pPr>
      <w:r>
        <w:rPr>
          <w:lang w:val="en-GB"/>
        </w:rPr>
        <w:t>Another</w:t>
      </w:r>
      <w:r w:rsidRPr="00212BC4">
        <w:rPr>
          <w:lang w:val="en-GB"/>
        </w:rPr>
        <w:t xml:space="preserve"> benefit of this new type of philanthropy </w:t>
      </w:r>
      <w:r>
        <w:rPr>
          <w:lang w:val="en-GB"/>
        </w:rPr>
        <w:t>is</w:t>
      </w:r>
      <w:r w:rsidRPr="00212BC4">
        <w:rPr>
          <w:lang w:val="en-GB"/>
        </w:rPr>
        <w:t xml:space="preserve"> also to help solve problems that cannot be addressed exclusively from existing public data, in addition to contributing to informed decision-making and the construction of evidence-based public policies and also inspir</w:t>
      </w:r>
      <w:r>
        <w:rPr>
          <w:lang w:val="en-GB"/>
        </w:rPr>
        <w:t>ing</w:t>
      </w:r>
      <w:r w:rsidRPr="00212BC4">
        <w:rPr>
          <w:lang w:val="en-GB"/>
        </w:rPr>
        <w:t xml:space="preserve"> new innovative solutions when responding to different social problems.</w:t>
      </w:r>
    </w:p>
    <w:p w14:paraId="7171709E" w14:textId="2D7A73A4" w:rsidR="00212BC4" w:rsidRPr="00212BC4" w:rsidRDefault="00212BC4" w:rsidP="00212BC4">
      <w:pPr>
        <w:spacing w:after="0"/>
        <w:rPr>
          <w:lang w:val="en-GB"/>
        </w:rPr>
      </w:pPr>
      <w:r w:rsidRPr="00212BC4">
        <w:rPr>
          <w:lang w:val="en-GB"/>
        </w:rPr>
        <w:t>For example, Facebook has a “</w:t>
      </w:r>
      <w:hyperlink r:id="rId45">
        <w:r w:rsidRPr="00433274">
          <w:rPr>
            <w:color w:val="7030A0"/>
            <w:u w:val="single"/>
            <w:lang w:val="en-GB"/>
          </w:rPr>
          <w:t>Data for Good</w:t>
        </w:r>
      </w:hyperlink>
      <w:r w:rsidRPr="00212BC4">
        <w:rPr>
          <w:lang w:val="en-GB"/>
        </w:rPr>
        <w:t xml:space="preserve">” program through which they take advantage of the potential of the data provided by their billions of users to explore their potential </w:t>
      </w:r>
      <w:r w:rsidR="00241B46" w:rsidRPr="00212BC4">
        <w:rPr>
          <w:lang w:val="en-GB"/>
        </w:rPr>
        <w:t xml:space="preserve">- after the corresponding anonymization process - </w:t>
      </w:r>
      <w:r w:rsidRPr="00212BC4">
        <w:rPr>
          <w:lang w:val="en-GB"/>
        </w:rPr>
        <w:t xml:space="preserve">to help </w:t>
      </w:r>
      <w:r w:rsidR="00241B46">
        <w:rPr>
          <w:lang w:val="en-GB"/>
        </w:rPr>
        <w:t xml:space="preserve">disadvantaged </w:t>
      </w:r>
      <w:r w:rsidRPr="00212BC4">
        <w:rPr>
          <w:lang w:val="en-GB"/>
        </w:rPr>
        <w:t xml:space="preserve">communities, risk groups, minorities or people in vulnerable situations in general. Thanks to this, they can offer us very useful data tools such as </w:t>
      </w:r>
      <w:hyperlink r:id="rId46" w:history="1">
        <w:r w:rsidR="00241B46" w:rsidRPr="00921DF2">
          <w:rPr>
            <w:color w:val="7030A0"/>
            <w:u w:val="single"/>
            <w:lang w:val="en-GB"/>
          </w:rPr>
          <w:t>disaster m</w:t>
        </w:r>
        <w:r w:rsidRPr="00921DF2">
          <w:rPr>
            <w:color w:val="7030A0"/>
            <w:u w:val="single"/>
            <w:lang w:val="en-GB"/>
          </w:rPr>
          <w:t>aps</w:t>
        </w:r>
      </w:hyperlink>
      <w:r w:rsidRPr="00212BC4">
        <w:rPr>
          <w:lang w:val="en-GB"/>
        </w:rPr>
        <w:t xml:space="preserve">, </w:t>
      </w:r>
      <w:hyperlink r:id="rId47" w:history="1">
        <w:r w:rsidRPr="00921DF2">
          <w:rPr>
            <w:color w:val="7030A0"/>
            <w:u w:val="single"/>
            <w:lang w:val="en-GB"/>
          </w:rPr>
          <w:t>e</w:t>
        </w:r>
        <w:r w:rsidR="00241B46" w:rsidRPr="00921DF2">
          <w:rPr>
            <w:color w:val="7030A0"/>
            <w:u w:val="single"/>
            <w:lang w:val="en-GB"/>
          </w:rPr>
          <w:t>lectrical distribution grid maps</w:t>
        </w:r>
      </w:hyperlink>
      <w:r w:rsidRPr="00921DF2">
        <w:rPr>
          <w:lang w:val="en-GB"/>
        </w:rPr>
        <w:t>,</w:t>
      </w:r>
      <w:r w:rsidRPr="00921DF2">
        <w:rPr>
          <w:color w:val="7030A0"/>
          <w:lang w:val="en-GB"/>
        </w:rPr>
        <w:t xml:space="preserve"> </w:t>
      </w:r>
      <w:hyperlink r:id="rId48" w:history="1">
        <w:r w:rsidRPr="00921DF2">
          <w:rPr>
            <w:color w:val="7030A0"/>
            <w:u w:val="single"/>
            <w:lang w:val="en-GB"/>
          </w:rPr>
          <w:t>population density</w:t>
        </w:r>
        <w:r w:rsidR="00241B46" w:rsidRPr="00921DF2">
          <w:rPr>
            <w:color w:val="7030A0"/>
            <w:u w:val="single"/>
            <w:lang w:val="en-GB"/>
          </w:rPr>
          <w:t xml:space="preserve"> maps</w:t>
        </w:r>
      </w:hyperlink>
      <w:r w:rsidRPr="00212BC4">
        <w:rPr>
          <w:lang w:val="en-GB"/>
        </w:rPr>
        <w:t xml:space="preserve"> or </w:t>
      </w:r>
      <w:hyperlink r:id="rId49" w:history="1">
        <w:r w:rsidRPr="00921DF2">
          <w:rPr>
            <w:color w:val="7030A0"/>
            <w:u w:val="single"/>
            <w:lang w:val="en-GB"/>
          </w:rPr>
          <w:t>disease prevention</w:t>
        </w:r>
        <w:r w:rsidR="00241B46" w:rsidRPr="00921DF2">
          <w:rPr>
            <w:color w:val="7030A0"/>
            <w:u w:val="single"/>
            <w:lang w:val="en-GB"/>
          </w:rPr>
          <w:t xml:space="preserve"> maps</w:t>
        </w:r>
      </w:hyperlink>
      <w:r w:rsidRPr="00212BC4">
        <w:rPr>
          <w:lang w:val="en-GB"/>
        </w:rPr>
        <w:t>.</w:t>
      </w:r>
    </w:p>
    <w:p w14:paraId="5AC0E8C3" w14:textId="2DEC0554" w:rsidR="00212BC4" w:rsidRPr="00212BC4" w:rsidRDefault="00212BC4" w:rsidP="00212BC4">
      <w:pPr>
        <w:spacing w:after="0"/>
        <w:rPr>
          <w:lang w:val="en-GB"/>
        </w:rPr>
      </w:pPr>
      <w:r w:rsidRPr="00212BC4">
        <w:rPr>
          <w:lang w:val="en-GB"/>
        </w:rPr>
        <w:t xml:space="preserve">Another similar example is </w:t>
      </w:r>
      <w:hyperlink r:id="rId50" w:history="1">
        <w:r w:rsidRPr="00921DF2">
          <w:rPr>
            <w:color w:val="7030A0"/>
            <w:u w:val="single"/>
            <w:lang w:val="en-GB"/>
          </w:rPr>
          <w:t>LUCA “Data for Good” activity line</w:t>
        </w:r>
      </w:hyperlink>
      <w:r w:rsidRPr="00212BC4">
        <w:rPr>
          <w:lang w:val="en-GB"/>
        </w:rPr>
        <w:t xml:space="preserve"> - the Telefónica </w:t>
      </w:r>
      <w:r w:rsidR="00921DF2">
        <w:rPr>
          <w:lang w:val="en-GB"/>
        </w:rPr>
        <w:t xml:space="preserve">business </w:t>
      </w:r>
      <w:r w:rsidRPr="00212BC4">
        <w:rPr>
          <w:lang w:val="en-GB"/>
        </w:rPr>
        <w:t>unit specialized in Big Data and Artificial Intelligence - through which data is used for social, humanitarian and environmental projects in line with the development goals of the United Nations Organization (SDGs).</w:t>
      </w:r>
    </w:p>
    <w:p w14:paraId="0FA4488A" w14:textId="130DBE74" w:rsidR="00526D83" w:rsidRPr="00241B46" w:rsidRDefault="00526D83" w:rsidP="00B7528C">
      <w:pPr>
        <w:pStyle w:val="Ttulo3"/>
        <w:numPr>
          <w:ilvl w:val="0"/>
          <w:numId w:val="0"/>
        </w:numPr>
        <w:spacing w:before="240" w:after="0" w:line="360" w:lineRule="auto"/>
        <w:ind w:left="720" w:hanging="720"/>
        <w:rPr>
          <w:lang w:val="en-GB"/>
        </w:rPr>
      </w:pPr>
      <w:bookmarkStart w:id="15" w:name="_Toc30777395"/>
      <w:bookmarkStart w:id="16" w:name="_Toc34134691"/>
      <w:r w:rsidRPr="00241B46">
        <w:rPr>
          <w:lang w:val="en-GB"/>
        </w:rPr>
        <w:t>1.1.5 –</w:t>
      </w:r>
      <w:bookmarkEnd w:id="15"/>
      <w:r w:rsidR="00241B46" w:rsidRPr="00241B46">
        <w:rPr>
          <w:lang w:val="en-GB"/>
        </w:rPr>
        <w:t xml:space="preserve"> Commercial data intermediation services</w:t>
      </w:r>
      <w:bookmarkEnd w:id="16"/>
    </w:p>
    <w:p w14:paraId="31E21300" w14:textId="6A3DAF71" w:rsidR="00241B46" w:rsidRPr="00463799" w:rsidRDefault="00241B46" w:rsidP="00731FC7">
      <w:pPr>
        <w:pBdr>
          <w:top w:val="nil"/>
          <w:left w:val="nil"/>
          <w:bottom w:val="nil"/>
          <w:right w:val="nil"/>
          <w:between w:val="nil"/>
        </w:pBdr>
        <w:spacing w:after="0"/>
        <w:rPr>
          <w:color w:val="000000"/>
          <w:lang w:val="en-GB"/>
        </w:rPr>
      </w:pPr>
      <w:r w:rsidRPr="00241B46">
        <w:rPr>
          <w:color w:val="000000"/>
          <w:lang w:val="en-GB"/>
        </w:rPr>
        <w:t xml:space="preserve">A </w:t>
      </w:r>
      <w:r w:rsidRPr="00241B46">
        <w:rPr>
          <w:b/>
          <w:color w:val="000000"/>
          <w:lang w:val="en-GB"/>
        </w:rPr>
        <w:t xml:space="preserve">data market </w:t>
      </w:r>
      <w:r w:rsidRPr="00241B46">
        <w:rPr>
          <w:color w:val="000000"/>
          <w:lang w:val="en-GB"/>
        </w:rPr>
        <w:t>(</w:t>
      </w:r>
      <w:r>
        <w:rPr>
          <w:color w:val="000000"/>
          <w:lang w:val="en-GB"/>
        </w:rPr>
        <w:t>also</w:t>
      </w:r>
      <w:r w:rsidRPr="00241B46">
        <w:rPr>
          <w:color w:val="000000"/>
          <w:lang w:val="en-GB"/>
        </w:rPr>
        <w:t xml:space="preserve"> known as data marketplaces) is a </w:t>
      </w:r>
      <w:r w:rsidRPr="00241B46">
        <w:rPr>
          <w:b/>
          <w:color w:val="000000"/>
          <w:lang w:val="en-GB"/>
        </w:rPr>
        <w:t xml:space="preserve">commercial intermediation service that offers access </w:t>
      </w:r>
      <w:r w:rsidR="00921DF2">
        <w:rPr>
          <w:b/>
          <w:color w:val="000000"/>
          <w:lang w:val="en-GB"/>
        </w:rPr>
        <w:t>-</w:t>
      </w:r>
      <w:r w:rsidRPr="00241B46">
        <w:rPr>
          <w:b/>
          <w:color w:val="000000"/>
          <w:lang w:val="en-GB"/>
        </w:rPr>
        <w:t>prior according</w:t>
      </w:r>
      <w:r w:rsidR="00921DF2">
        <w:rPr>
          <w:b/>
          <w:color w:val="000000"/>
          <w:lang w:val="en-GB"/>
        </w:rPr>
        <w:t>-</w:t>
      </w:r>
      <w:r w:rsidRPr="00241B46">
        <w:rPr>
          <w:b/>
          <w:color w:val="000000"/>
          <w:lang w:val="en-GB"/>
        </w:rPr>
        <w:t xml:space="preserve"> to various types of data from various sources</w:t>
      </w:r>
      <w:r w:rsidRPr="00241B46">
        <w:rPr>
          <w:color w:val="000000"/>
          <w:lang w:val="en-GB"/>
        </w:rPr>
        <w:t xml:space="preserve"> (including public and private data)</w:t>
      </w:r>
      <w:r>
        <w:rPr>
          <w:color w:val="000000"/>
          <w:lang w:val="en-GB"/>
        </w:rPr>
        <w:t>. G</w:t>
      </w:r>
      <w:r w:rsidRPr="00241B46">
        <w:rPr>
          <w:color w:val="000000"/>
          <w:lang w:val="en-GB"/>
        </w:rPr>
        <w:t>enerally</w:t>
      </w:r>
      <w:r>
        <w:rPr>
          <w:color w:val="000000"/>
          <w:lang w:val="en-GB"/>
        </w:rPr>
        <w:t xml:space="preserve">, </w:t>
      </w:r>
      <w:r w:rsidR="00921DF2">
        <w:rPr>
          <w:color w:val="000000"/>
          <w:lang w:val="en-GB"/>
        </w:rPr>
        <w:t>a data market</w:t>
      </w:r>
      <w:r w:rsidRPr="00241B46">
        <w:rPr>
          <w:color w:val="000000"/>
          <w:lang w:val="en-GB"/>
        </w:rPr>
        <w:t xml:space="preserve"> also offers some </w:t>
      </w:r>
      <w:r w:rsidRPr="00241B46">
        <w:rPr>
          <w:b/>
          <w:color w:val="000000"/>
          <w:lang w:val="en-GB"/>
        </w:rPr>
        <w:t>additional tools</w:t>
      </w:r>
      <w:r w:rsidRPr="00241B46">
        <w:rPr>
          <w:color w:val="000000"/>
          <w:lang w:val="en-GB"/>
        </w:rPr>
        <w:t xml:space="preserve"> or even the possibility of shaping the data according to the specific needs of its customers through value-added services such as the unification of formats, interoperability, quality indicators, analytics or access through advanced interfaces. </w:t>
      </w:r>
      <w:r w:rsidRPr="00463799">
        <w:rPr>
          <w:color w:val="000000"/>
          <w:lang w:val="en-GB"/>
        </w:rPr>
        <w:t xml:space="preserve">Examples of this type of data markets are </w:t>
      </w:r>
      <w:hyperlink r:id="rId51" w:anchor="/">
        <w:r w:rsidR="00463799" w:rsidRPr="00921DF2">
          <w:rPr>
            <w:color w:val="7030A0"/>
            <w:u w:val="single"/>
            <w:lang w:val="en-GB"/>
          </w:rPr>
          <w:t>IOTA</w:t>
        </w:r>
      </w:hyperlink>
      <w:r w:rsidR="00463799" w:rsidRPr="00463799">
        <w:rPr>
          <w:color w:val="000000"/>
          <w:lang w:val="en-GB"/>
        </w:rPr>
        <w:t xml:space="preserve">, </w:t>
      </w:r>
      <w:hyperlink r:id="rId52">
        <w:r w:rsidR="00463799" w:rsidRPr="00921DF2">
          <w:rPr>
            <w:color w:val="7030A0"/>
            <w:u w:val="single"/>
            <w:lang w:val="en-GB"/>
          </w:rPr>
          <w:t>Qlik Data Market</w:t>
        </w:r>
      </w:hyperlink>
      <w:r w:rsidR="00463799" w:rsidRPr="00463799">
        <w:rPr>
          <w:color w:val="000000"/>
          <w:lang w:val="en-GB"/>
        </w:rPr>
        <w:t xml:space="preserve">, </w:t>
      </w:r>
      <w:hyperlink r:id="rId53">
        <w:r w:rsidR="00463799" w:rsidRPr="00921DF2">
          <w:rPr>
            <w:color w:val="7030A0"/>
            <w:u w:val="single"/>
            <w:lang w:val="en-GB"/>
          </w:rPr>
          <w:t>Quadrant</w:t>
        </w:r>
      </w:hyperlink>
      <w:r w:rsidR="00463799" w:rsidRPr="00463799">
        <w:rPr>
          <w:color w:val="000000"/>
          <w:lang w:val="en-GB"/>
        </w:rPr>
        <w:t xml:space="preserve">, </w:t>
      </w:r>
      <w:hyperlink r:id="rId54">
        <w:r w:rsidR="00463799" w:rsidRPr="00921DF2">
          <w:rPr>
            <w:color w:val="7030A0"/>
            <w:u w:val="single"/>
            <w:lang w:val="en-GB"/>
          </w:rPr>
          <w:t>Refinitiv</w:t>
        </w:r>
      </w:hyperlink>
      <w:r w:rsidR="00463799" w:rsidRPr="00463799">
        <w:rPr>
          <w:color w:val="000000"/>
          <w:lang w:val="en-GB"/>
        </w:rPr>
        <w:t xml:space="preserve">, </w:t>
      </w:r>
      <w:hyperlink r:id="rId55">
        <w:r w:rsidR="00463799" w:rsidRPr="00921DF2">
          <w:rPr>
            <w:color w:val="7030A0"/>
            <w:u w:val="single"/>
            <w:lang w:val="en-GB"/>
          </w:rPr>
          <w:t>Adveneo</w:t>
        </w:r>
      </w:hyperlink>
      <w:r w:rsidR="00463799" w:rsidRPr="00463799">
        <w:rPr>
          <w:color w:val="000000"/>
          <w:lang w:val="en-GB"/>
        </w:rPr>
        <w:t xml:space="preserve"> o</w:t>
      </w:r>
      <w:r w:rsidR="00463799">
        <w:rPr>
          <w:color w:val="000000"/>
          <w:lang w:val="en-GB"/>
        </w:rPr>
        <w:t>r</w:t>
      </w:r>
      <w:r w:rsidR="00463799" w:rsidRPr="00463799">
        <w:rPr>
          <w:color w:val="000000"/>
          <w:lang w:val="en-GB"/>
        </w:rPr>
        <w:t xml:space="preserve"> </w:t>
      </w:r>
      <w:hyperlink r:id="rId56">
        <w:r w:rsidR="00463799" w:rsidRPr="00921DF2">
          <w:rPr>
            <w:color w:val="7030A0"/>
            <w:u w:val="single"/>
            <w:lang w:val="en-GB"/>
          </w:rPr>
          <w:t>Dawex</w:t>
        </w:r>
      </w:hyperlink>
      <w:r w:rsidR="00463799" w:rsidRPr="00463799">
        <w:rPr>
          <w:color w:val="000000"/>
          <w:lang w:val="en-GB"/>
        </w:rPr>
        <w:t>.</w:t>
      </w:r>
    </w:p>
    <w:p w14:paraId="7400CBF5" w14:textId="677D3A93" w:rsidR="00463799" w:rsidRPr="00463799" w:rsidRDefault="00463799" w:rsidP="00731FC7">
      <w:pPr>
        <w:pBdr>
          <w:top w:val="nil"/>
          <w:left w:val="nil"/>
          <w:bottom w:val="nil"/>
          <w:right w:val="nil"/>
          <w:between w:val="nil"/>
        </w:pBdr>
        <w:spacing w:after="0"/>
        <w:rPr>
          <w:color w:val="000000"/>
          <w:lang w:val="en-GB"/>
        </w:rPr>
      </w:pPr>
      <w:r w:rsidRPr="00463799">
        <w:rPr>
          <w:color w:val="000000"/>
          <w:lang w:val="en-GB"/>
        </w:rPr>
        <w:lastRenderedPageBreak/>
        <w:t xml:space="preserve">Some of the most common types of data offered include business intelligence, advertising, demographics, personal information, research and market data. There are also more specialized data markets in some particular data categories, for example geographic data or </w:t>
      </w:r>
      <w:hyperlink r:id="rId57" w:history="1">
        <w:r w:rsidRPr="00921DF2">
          <w:rPr>
            <w:color w:val="7030A0"/>
            <w:u w:val="single"/>
            <w:lang w:val="en-GB"/>
          </w:rPr>
          <w:t>humanitarian data</w:t>
        </w:r>
      </w:hyperlink>
      <w:r w:rsidRPr="00463799">
        <w:rPr>
          <w:color w:val="000000"/>
          <w:lang w:val="en-GB"/>
        </w:rPr>
        <w:t>. The data sold in these markets are used by companies of all kinds, from governments to market intelligence agencies, through different types of analysts.</w:t>
      </w:r>
    </w:p>
    <w:p w14:paraId="1CA57570" w14:textId="0A8F9573" w:rsidR="00463799" w:rsidRPr="00463799" w:rsidRDefault="00463799" w:rsidP="00731FC7">
      <w:pPr>
        <w:pBdr>
          <w:top w:val="nil"/>
          <w:left w:val="nil"/>
          <w:bottom w:val="nil"/>
          <w:right w:val="nil"/>
          <w:between w:val="nil"/>
        </w:pBdr>
        <w:spacing w:after="0"/>
        <w:rPr>
          <w:color w:val="000000"/>
          <w:lang w:val="en-GB"/>
        </w:rPr>
      </w:pPr>
      <w:r w:rsidRPr="00463799">
        <w:rPr>
          <w:color w:val="000000"/>
          <w:lang w:val="en-GB"/>
        </w:rPr>
        <w:t xml:space="preserve">According to Edd Dumbill, an analyst at O'Reilly Radar, </w:t>
      </w:r>
      <w:hyperlink r:id="rId58" w:history="1">
        <w:r w:rsidRPr="008A2349">
          <w:rPr>
            <w:color w:val="7030A0"/>
            <w:u w:val="single"/>
            <w:lang w:val="en-GB"/>
          </w:rPr>
          <w:t>the history of data markets dates back to the mid-19th century</w:t>
        </w:r>
      </w:hyperlink>
      <w:r w:rsidRPr="00463799">
        <w:rPr>
          <w:color w:val="000000"/>
          <w:lang w:val="en-GB"/>
        </w:rPr>
        <w:t xml:space="preserve">, when Paul Reuter, founder of the Reuters media, began publishing </w:t>
      </w:r>
      <w:r>
        <w:rPr>
          <w:color w:val="000000"/>
          <w:lang w:val="en-GB"/>
        </w:rPr>
        <w:t xml:space="preserve">the </w:t>
      </w:r>
      <w:r w:rsidRPr="00463799">
        <w:rPr>
          <w:color w:val="000000"/>
          <w:lang w:val="en-GB"/>
        </w:rPr>
        <w:t xml:space="preserve">prices </w:t>
      </w:r>
      <w:r>
        <w:rPr>
          <w:color w:val="000000"/>
          <w:lang w:val="en-GB"/>
        </w:rPr>
        <w:t>of</w:t>
      </w:r>
      <w:r w:rsidRPr="00463799">
        <w:rPr>
          <w:color w:val="000000"/>
          <w:lang w:val="en-GB"/>
        </w:rPr>
        <w:t xml:space="preserve"> Paris and London stock </w:t>
      </w:r>
      <w:r>
        <w:rPr>
          <w:color w:val="000000"/>
          <w:lang w:val="en-GB"/>
        </w:rPr>
        <w:t>markets</w:t>
      </w:r>
      <w:r w:rsidRPr="00463799">
        <w:rPr>
          <w:color w:val="000000"/>
          <w:lang w:val="en-GB"/>
        </w:rPr>
        <w:t xml:space="preserve">. However, it has been in the last ten years when these types of markets have proliferated </w:t>
      </w:r>
      <w:r>
        <w:rPr>
          <w:color w:val="000000"/>
          <w:lang w:val="en-GB"/>
        </w:rPr>
        <w:t>due to</w:t>
      </w:r>
      <w:r w:rsidRPr="00463799">
        <w:rPr>
          <w:color w:val="000000"/>
          <w:lang w:val="en-GB"/>
        </w:rPr>
        <w:t xml:space="preserve"> the growth of new trends focused on data, such as big data or </w:t>
      </w:r>
      <w:hyperlink r:id="rId59" w:history="1">
        <w:r w:rsidRPr="008A2349">
          <w:rPr>
            <w:color w:val="7030A0"/>
            <w:u w:val="single"/>
            <w:lang w:val="en-GB"/>
          </w:rPr>
          <w:t>Internet of things</w:t>
        </w:r>
      </w:hyperlink>
      <w:r w:rsidRPr="00463799">
        <w:rPr>
          <w:color w:val="000000"/>
          <w:lang w:val="en-GB"/>
        </w:rPr>
        <w:t xml:space="preserve">, since the amount of data available has increased </w:t>
      </w:r>
      <w:r>
        <w:rPr>
          <w:color w:val="000000"/>
          <w:lang w:val="en-GB"/>
        </w:rPr>
        <w:t>e</w:t>
      </w:r>
      <w:r w:rsidRPr="00463799">
        <w:rPr>
          <w:color w:val="000000"/>
          <w:lang w:val="en-GB"/>
        </w:rPr>
        <w:t>xponentially and the appetite of companies for these data has also grown to the same extent</w:t>
      </w:r>
      <w:r>
        <w:rPr>
          <w:color w:val="000000"/>
          <w:lang w:val="en-GB"/>
        </w:rPr>
        <w:t>. S</w:t>
      </w:r>
      <w:r w:rsidRPr="00463799">
        <w:rPr>
          <w:color w:val="000000"/>
          <w:lang w:val="en-GB"/>
        </w:rPr>
        <w:t>o that</w:t>
      </w:r>
      <w:r>
        <w:rPr>
          <w:color w:val="000000"/>
          <w:lang w:val="en-GB"/>
        </w:rPr>
        <w:t>,</w:t>
      </w:r>
      <w:r w:rsidRPr="00463799">
        <w:rPr>
          <w:color w:val="000000"/>
          <w:lang w:val="en-GB"/>
        </w:rPr>
        <w:t xml:space="preserve"> at present</w:t>
      </w:r>
      <w:r>
        <w:rPr>
          <w:color w:val="000000"/>
          <w:lang w:val="en-GB"/>
        </w:rPr>
        <w:t>,</w:t>
      </w:r>
      <w:r w:rsidRPr="00463799">
        <w:rPr>
          <w:color w:val="000000"/>
          <w:lang w:val="en-GB"/>
        </w:rPr>
        <w:t xml:space="preserve"> the data have become an asset of great value and demand. For example, </w:t>
      </w:r>
      <w:hyperlink r:id="rId60" w:history="1">
        <w:r w:rsidRPr="008A2349">
          <w:rPr>
            <w:color w:val="7030A0"/>
            <w:u w:val="single"/>
            <w:lang w:val="en-GB"/>
          </w:rPr>
          <w:t>it is estimated that by 2030 more than 1 million organizations will be monetizing their IoT data</w:t>
        </w:r>
      </w:hyperlink>
      <w:r w:rsidRPr="00463799">
        <w:rPr>
          <w:color w:val="000000"/>
          <w:lang w:val="en-GB"/>
        </w:rPr>
        <w:t xml:space="preserve"> and transactions of more than 12 exabytes of data will be carried out every day.</w:t>
      </w:r>
    </w:p>
    <w:p w14:paraId="4F6A830C" w14:textId="77394DEE" w:rsidR="00463799" w:rsidRDefault="00463799" w:rsidP="00731FC7">
      <w:pPr>
        <w:pBdr>
          <w:top w:val="nil"/>
          <w:left w:val="nil"/>
          <w:bottom w:val="nil"/>
          <w:right w:val="nil"/>
          <w:between w:val="nil"/>
        </w:pBdr>
        <w:spacing w:after="0"/>
        <w:rPr>
          <w:color w:val="000000"/>
          <w:lang w:val="en-GB"/>
        </w:rPr>
      </w:pPr>
      <w:r w:rsidRPr="00463799">
        <w:rPr>
          <w:color w:val="000000"/>
          <w:lang w:val="en-GB"/>
        </w:rPr>
        <w:t xml:space="preserve">In these markets, the original suppliers or owners of the data authorize the intermediary to license their information based on defined terms and conditions. Therefore, it is important not to confuse </w:t>
      </w:r>
      <w:r w:rsidR="008A2349">
        <w:rPr>
          <w:color w:val="000000"/>
          <w:lang w:val="en-GB"/>
        </w:rPr>
        <w:t>data market</w:t>
      </w:r>
      <w:r w:rsidRPr="00463799">
        <w:rPr>
          <w:color w:val="000000"/>
          <w:lang w:val="en-GB"/>
        </w:rPr>
        <w:t xml:space="preserve"> with the also popular </w:t>
      </w:r>
      <w:hyperlink r:id="rId61">
        <w:r w:rsidRPr="008A2349">
          <w:rPr>
            <w:color w:val="7030A0"/>
            <w:u w:val="single"/>
            <w:lang w:val="en-GB"/>
          </w:rPr>
          <w:t>data brokers</w:t>
        </w:r>
      </w:hyperlink>
      <w:r>
        <w:rPr>
          <w:color w:val="000000"/>
          <w:lang w:val="en-GB"/>
        </w:rPr>
        <w:t>, s</w:t>
      </w:r>
      <w:r w:rsidRPr="00463799">
        <w:rPr>
          <w:color w:val="000000"/>
          <w:lang w:val="en-GB"/>
        </w:rPr>
        <w:t xml:space="preserve">uch as Quantcast or Acxiom, whose function is to collect as many data as possible, usually personal </w:t>
      </w:r>
      <w:r>
        <w:rPr>
          <w:color w:val="000000"/>
          <w:lang w:val="en-GB"/>
        </w:rPr>
        <w:t>data</w:t>
      </w:r>
      <w:r w:rsidRPr="00463799">
        <w:rPr>
          <w:color w:val="000000"/>
          <w:lang w:val="en-GB"/>
        </w:rPr>
        <w:t xml:space="preserve"> (which should never be present in a </w:t>
      </w:r>
      <w:r>
        <w:rPr>
          <w:color w:val="000000"/>
          <w:lang w:val="en-GB"/>
        </w:rPr>
        <w:t xml:space="preserve">typical </w:t>
      </w:r>
      <w:r w:rsidRPr="00463799">
        <w:rPr>
          <w:color w:val="000000"/>
          <w:lang w:val="en-GB"/>
        </w:rPr>
        <w:t>data market) or related to consumption, with the objective of characterizing certain groups or individuals</w:t>
      </w:r>
      <w:r w:rsidR="008A2349">
        <w:rPr>
          <w:color w:val="000000"/>
          <w:lang w:val="en-GB"/>
        </w:rPr>
        <w:t xml:space="preserve">. These </w:t>
      </w:r>
      <w:r w:rsidR="008A2349" w:rsidRPr="00463799">
        <w:rPr>
          <w:color w:val="000000"/>
          <w:lang w:val="en-GB"/>
        </w:rPr>
        <w:t xml:space="preserve">groups or individuals </w:t>
      </w:r>
      <w:r w:rsidRPr="00463799">
        <w:rPr>
          <w:color w:val="000000"/>
          <w:lang w:val="en-GB"/>
        </w:rPr>
        <w:t xml:space="preserve">have never maintained any type of commercial or service relationship, and sometimes </w:t>
      </w:r>
      <w:r w:rsidR="008A2349">
        <w:rPr>
          <w:color w:val="000000"/>
          <w:lang w:val="en-GB"/>
        </w:rPr>
        <w:t xml:space="preserve">data brokers </w:t>
      </w:r>
      <w:r w:rsidRPr="00463799">
        <w:rPr>
          <w:color w:val="000000"/>
          <w:lang w:val="en-GB"/>
        </w:rPr>
        <w:t>us</w:t>
      </w:r>
      <w:r w:rsidR="008A2349">
        <w:rPr>
          <w:color w:val="000000"/>
          <w:lang w:val="en-GB"/>
        </w:rPr>
        <w:t>e</w:t>
      </w:r>
      <w:r w:rsidRPr="00463799">
        <w:rPr>
          <w:color w:val="000000"/>
          <w:lang w:val="en-GB"/>
        </w:rPr>
        <w:t xml:space="preserve"> quite opaque and ethically (or even legally) questionable methods.</w:t>
      </w:r>
    </w:p>
    <w:p w14:paraId="6C6FA190" w14:textId="77777777" w:rsidR="008A2349" w:rsidRPr="00463799" w:rsidRDefault="008A2349" w:rsidP="00731FC7">
      <w:pPr>
        <w:pBdr>
          <w:top w:val="nil"/>
          <w:left w:val="nil"/>
          <w:bottom w:val="nil"/>
          <w:right w:val="nil"/>
          <w:between w:val="nil"/>
        </w:pBdr>
        <w:spacing w:after="0"/>
        <w:rPr>
          <w:color w:val="000000"/>
          <w:lang w:val="en-GB"/>
        </w:rPr>
      </w:pPr>
    </w:p>
    <w:p w14:paraId="20FE1AF4" w14:textId="77B3F46A" w:rsidR="00526D83" w:rsidRPr="0096445B" w:rsidRDefault="00526D83" w:rsidP="00B7528C">
      <w:pPr>
        <w:pStyle w:val="Ttulo2"/>
        <w:ind w:left="0"/>
        <w:rPr>
          <w:lang w:val="en-GB"/>
        </w:rPr>
      </w:pPr>
      <w:bookmarkStart w:id="17" w:name="_Toc30777396"/>
      <w:bookmarkStart w:id="18" w:name="_Toc34134692"/>
      <w:r w:rsidRPr="0096445B">
        <w:rPr>
          <w:lang w:val="en-GB"/>
        </w:rPr>
        <w:lastRenderedPageBreak/>
        <w:t xml:space="preserve">1.2. - </w:t>
      </w:r>
      <w:bookmarkEnd w:id="17"/>
      <w:r w:rsidR="0096445B" w:rsidRPr="0096445B">
        <w:rPr>
          <w:lang w:val="en-GB"/>
        </w:rPr>
        <w:t>ACADEMIC AND INNOVATION SECTOR DATA</w:t>
      </w:r>
      <w:bookmarkEnd w:id="18"/>
    </w:p>
    <w:p w14:paraId="1B5682BA" w14:textId="4F5E2991" w:rsidR="0096445B" w:rsidRPr="0096445B" w:rsidRDefault="0096445B" w:rsidP="0096445B">
      <w:pPr>
        <w:spacing w:after="0"/>
        <w:rPr>
          <w:lang w:val="en-GB"/>
        </w:rPr>
      </w:pPr>
      <w:r w:rsidRPr="0096445B">
        <w:rPr>
          <w:lang w:val="en-GB"/>
        </w:rPr>
        <w:t>The academic sector has historically been another great producer of data due to its continuous scientific activity. Thanks to the technological advances that have also reached the scientific community, all th</w:t>
      </w:r>
      <w:r w:rsidR="008A2349">
        <w:rPr>
          <w:lang w:val="en-GB"/>
        </w:rPr>
        <w:t>i</w:t>
      </w:r>
      <w:r w:rsidRPr="0096445B">
        <w:rPr>
          <w:lang w:val="en-GB"/>
        </w:rPr>
        <w:t>s vast data production is nowadays much more accessible to the public than it was previously. To this</w:t>
      </w:r>
      <w:r w:rsidR="008A2349">
        <w:rPr>
          <w:lang w:val="en-GB"/>
        </w:rPr>
        <w:t>,</w:t>
      </w:r>
      <w:r w:rsidRPr="0096445B">
        <w:rPr>
          <w:lang w:val="en-GB"/>
        </w:rPr>
        <w:t xml:space="preserve"> we must add that data has become an almost essential tool for innovation, so that any activity or organization with a high innovative component automatically becomes another potential great source of data.</w:t>
      </w:r>
    </w:p>
    <w:p w14:paraId="0C119A6F" w14:textId="37F5B87E" w:rsidR="0096445B" w:rsidRPr="0096445B" w:rsidRDefault="0096445B" w:rsidP="0096445B">
      <w:pPr>
        <w:spacing w:after="0"/>
        <w:rPr>
          <w:lang w:val="en-GB"/>
        </w:rPr>
      </w:pPr>
      <w:r w:rsidRPr="0096445B">
        <w:rPr>
          <w:lang w:val="en-GB"/>
        </w:rPr>
        <w:t xml:space="preserve">Through the following sections we will see different motivations </w:t>
      </w:r>
      <w:r>
        <w:rPr>
          <w:lang w:val="en-GB"/>
        </w:rPr>
        <w:t xml:space="preserve">- </w:t>
      </w:r>
      <w:r>
        <w:rPr>
          <w:rStyle w:val="tlid-translation"/>
          <w:lang w:val="en"/>
        </w:rPr>
        <w:t xml:space="preserve">collected in the following figure - </w:t>
      </w:r>
      <w:r w:rsidRPr="0096445B">
        <w:rPr>
          <w:lang w:val="en-GB"/>
        </w:rPr>
        <w:t>when it comes to facilitating access to data from these sectors, as well as again several real and current examples for each of them</w:t>
      </w:r>
      <w:r>
        <w:rPr>
          <w:lang w:val="en-GB"/>
        </w:rPr>
        <w:t>.</w:t>
      </w:r>
    </w:p>
    <w:p w14:paraId="1E2130C9" w14:textId="5D736A38" w:rsidR="00034FA7" w:rsidRDefault="00034FA7" w:rsidP="00731FC7">
      <w:pPr>
        <w:spacing w:after="0"/>
      </w:pPr>
      <w:r>
        <w:rPr>
          <w:noProof/>
        </w:rPr>
        <w:drawing>
          <wp:inline distT="0" distB="0" distL="0" distR="0" wp14:anchorId="2FBEC1FB" wp14:editId="324BF80E">
            <wp:extent cx="5763260" cy="2596005"/>
            <wp:effectExtent l="0" t="0" r="889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Visual_Doc_04.jpg"/>
                    <pic:cNvPicPr/>
                  </pic:nvPicPr>
                  <pic:blipFill>
                    <a:blip r:embed="rId62">
                      <a:extLst>
                        <a:ext uri="{28A0092B-C50C-407E-A947-70E740481C1C}">
                          <a14:useLocalDpi xmlns:a14="http://schemas.microsoft.com/office/drawing/2010/main" val="0"/>
                        </a:ext>
                      </a:extLst>
                    </a:blip>
                    <a:stretch>
                      <a:fillRect/>
                    </a:stretch>
                  </pic:blipFill>
                  <pic:spPr>
                    <a:xfrm>
                      <a:off x="0" y="0"/>
                      <a:ext cx="5763260" cy="2596005"/>
                    </a:xfrm>
                    <a:prstGeom prst="rect">
                      <a:avLst/>
                    </a:prstGeom>
                  </pic:spPr>
                </pic:pic>
              </a:graphicData>
            </a:graphic>
          </wp:inline>
        </w:drawing>
      </w:r>
    </w:p>
    <w:p w14:paraId="1594CC42" w14:textId="2AF67F34" w:rsidR="00526D83" w:rsidRPr="0096445B" w:rsidRDefault="00526D83" w:rsidP="00B7528C">
      <w:pPr>
        <w:pStyle w:val="Ttulo3"/>
        <w:numPr>
          <w:ilvl w:val="0"/>
          <w:numId w:val="0"/>
        </w:numPr>
        <w:spacing w:before="240" w:after="0" w:line="360" w:lineRule="auto"/>
        <w:ind w:left="720" w:hanging="720"/>
        <w:rPr>
          <w:lang w:val="en-GB"/>
        </w:rPr>
      </w:pPr>
      <w:bookmarkStart w:id="19" w:name="_Toc30777397"/>
      <w:bookmarkStart w:id="20" w:name="_Toc34134693"/>
      <w:r w:rsidRPr="0096445B">
        <w:rPr>
          <w:lang w:val="en-GB"/>
        </w:rPr>
        <w:t>1.2.1 –</w:t>
      </w:r>
      <w:sdt>
        <w:sdtPr>
          <w:tag w:val="goog_rdk_24"/>
          <w:id w:val="883062309"/>
        </w:sdtPr>
        <w:sdtEndPr/>
        <w:sdtContent/>
      </w:sdt>
      <w:r w:rsidRPr="0096445B">
        <w:rPr>
          <w:lang w:val="en-GB"/>
        </w:rPr>
        <w:t xml:space="preserve"> </w:t>
      </w:r>
      <w:bookmarkEnd w:id="19"/>
      <w:r w:rsidR="0096445B" w:rsidRPr="0096445B">
        <w:rPr>
          <w:lang w:val="en-GB"/>
        </w:rPr>
        <w:t>Open access to scientific results</w:t>
      </w:r>
      <w:bookmarkEnd w:id="20"/>
    </w:p>
    <w:p w14:paraId="1063D23C" w14:textId="02FE6419" w:rsidR="0096445B" w:rsidRPr="0096445B" w:rsidRDefault="0096445B" w:rsidP="0096445B">
      <w:pPr>
        <w:spacing w:after="0"/>
        <w:rPr>
          <w:lang w:val="en-GB"/>
        </w:rPr>
      </w:pPr>
      <w:r w:rsidRPr="0096445B">
        <w:rPr>
          <w:lang w:val="en-GB"/>
        </w:rPr>
        <w:t xml:space="preserve">There is a huge amount of scientific research carried out in universities and institutions around the world </w:t>
      </w:r>
      <w:r>
        <w:rPr>
          <w:lang w:val="en-GB"/>
        </w:rPr>
        <w:t>-</w:t>
      </w:r>
      <w:r w:rsidRPr="0096445B">
        <w:rPr>
          <w:lang w:val="en-GB"/>
        </w:rPr>
        <w:t>w</w:t>
      </w:r>
      <w:r>
        <w:rPr>
          <w:lang w:val="en-GB"/>
        </w:rPr>
        <w:t xml:space="preserve">e </w:t>
      </w:r>
      <w:r w:rsidRPr="0096445B">
        <w:rPr>
          <w:lang w:val="en-GB"/>
        </w:rPr>
        <w:t>must also remember that on many occasions they are also public entities and</w:t>
      </w:r>
      <w:r>
        <w:rPr>
          <w:lang w:val="en-GB"/>
        </w:rPr>
        <w:t xml:space="preserve"> </w:t>
      </w:r>
      <w:r w:rsidRPr="0096445B">
        <w:rPr>
          <w:lang w:val="en-GB"/>
        </w:rPr>
        <w:t>/</w:t>
      </w:r>
      <w:r>
        <w:rPr>
          <w:lang w:val="en-GB"/>
        </w:rPr>
        <w:t xml:space="preserve"> </w:t>
      </w:r>
      <w:r w:rsidRPr="0096445B">
        <w:rPr>
          <w:lang w:val="en-GB"/>
        </w:rPr>
        <w:t>or financed with public resources</w:t>
      </w:r>
      <w:r>
        <w:rPr>
          <w:lang w:val="en-GB"/>
        </w:rPr>
        <w:t>-</w:t>
      </w:r>
      <w:r w:rsidRPr="0096445B">
        <w:rPr>
          <w:lang w:val="en-GB"/>
        </w:rPr>
        <w:t>. However, access to this knowledge</w:t>
      </w:r>
      <w:r w:rsidR="008A2349">
        <w:rPr>
          <w:lang w:val="en-GB"/>
        </w:rPr>
        <w:t>,</w:t>
      </w:r>
      <w:r w:rsidRPr="0096445B">
        <w:rPr>
          <w:lang w:val="en-GB"/>
        </w:rPr>
        <w:t xml:space="preserve"> </w:t>
      </w:r>
      <w:r w:rsidR="009E5C7C">
        <w:rPr>
          <w:lang w:val="en-GB"/>
        </w:rPr>
        <w:t>created</w:t>
      </w:r>
      <w:r w:rsidRPr="0096445B">
        <w:rPr>
          <w:lang w:val="en-GB"/>
        </w:rPr>
        <w:t xml:space="preserve"> as a public good</w:t>
      </w:r>
      <w:r w:rsidR="008A2349">
        <w:rPr>
          <w:lang w:val="en-GB"/>
        </w:rPr>
        <w:t>,</w:t>
      </w:r>
      <w:r w:rsidRPr="0096445B">
        <w:rPr>
          <w:lang w:val="en-GB"/>
        </w:rPr>
        <w:t xml:space="preserve"> is usually restricted, and is only granted to those who </w:t>
      </w:r>
      <w:r w:rsidR="009E5C7C">
        <w:rPr>
          <w:lang w:val="en-GB"/>
        </w:rPr>
        <w:t>have</w:t>
      </w:r>
      <w:r w:rsidRPr="0096445B">
        <w:rPr>
          <w:lang w:val="en-GB"/>
        </w:rPr>
        <w:t xml:space="preserve"> </w:t>
      </w:r>
      <w:r w:rsidRPr="0096445B">
        <w:rPr>
          <w:lang w:val="en-GB"/>
        </w:rPr>
        <w:lastRenderedPageBreak/>
        <w:t>permission through their university affiliation, or through the acquisition of access rights through academic journals or individual articles.</w:t>
      </w:r>
    </w:p>
    <w:p w14:paraId="2DD605D2" w14:textId="77777777" w:rsidR="0096445B" w:rsidRPr="0096445B" w:rsidRDefault="0096445B" w:rsidP="0096445B">
      <w:pPr>
        <w:spacing w:after="0"/>
        <w:rPr>
          <w:lang w:val="en-GB"/>
        </w:rPr>
      </w:pPr>
      <w:r w:rsidRPr="009E5C7C">
        <w:rPr>
          <w:b/>
          <w:lang w:val="en-GB"/>
        </w:rPr>
        <w:t>Open Access</w:t>
      </w:r>
      <w:r w:rsidRPr="0096445B">
        <w:rPr>
          <w:lang w:val="en-GB"/>
        </w:rPr>
        <w:t xml:space="preserve">, or scientific publication in open access, was born as a solution to this problem and to </w:t>
      </w:r>
      <w:r w:rsidRPr="009E5C7C">
        <w:rPr>
          <w:b/>
          <w:lang w:val="en-GB"/>
        </w:rPr>
        <w:t>make the results of the research more accessible to all</w:t>
      </w:r>
      <w:r w:rsidRPr="0096445B">
        <w:rPr>
          <w:lang w:val="en-GB"/>
        </w:rPr>
        <w:t xml:space="preserve"> social agents, contributing to </w:t>
      </w:r>
      <w:r w:rsidRPr="009E5C7C">
        <w:rPr>
          <w:b/>
          <w:lang w:val="en-GB"/>
        </w:rPr>
        <w:t>a better and more effective science and thus improving innovation</w:t>
      </w:r>
      <w:r w:rsidRPr="0096445B">
        <w:rPr>
          <w:lang w:val="en-GB"/>
        </w:rPr>
        <w:t xml:space="preserve"> in the public and private sectors. The origins of this movement date back to the social and scientific commitment reached internationally through the following statements:</w:t>
      </w:r>
    </w:p>
    <w:p w14:paraId="13B42CFC" w14:textId="3A5775C6" w:rsidR="00526D83" w:rsidRPr="009E5C7C" w:rsidRDefault="00F713DD" w:rsidP="00D72FD2">
      <w:pPr>
        <w:numPr>
          <w:ilvl w:val="0"/>
          <w:numId w:val="3"/>
        </w:numPr>
        <w:pBdr>
          <w:top w:val="nil"/>
          <w:left w:val="nil"/>
          <w:bottom w:val="nil"/>
          <w:right w:val="nil"/>
          <w:between w:val="nil"/>
        </w:pBdr>
        <w:spacing w:after="0"/>
        <w:rPr>
          <w:lang w:val="en-GB"/>
        </w:rPr>
      </w:pPr>
      <w:hyperlink r:id="rId63">
        <w:r w:rsidR="00526D83" w:rsidRPr="008A2349">
          <w:rPr>
            <w:color w:val="7030A0"/>
            <w:u w:val="single"/>
            <w:lang w:val="en-GB"/>
          </w:rPr>
          <w:t>Budapest Open Access Initiative</w:t>
        </w:r>
      </w:hyperlink>
      <w:r w:rsidR="00526D83" w:rsidRPr="009E5C7C">
        <w:rPr>
          <w:color w:val="000000"/>
          <w:lang w:val="en-GB"/>
        </w:rPr>
        <w:t xml:space="preserve"> (2002): </w:t>
      </w:r>
      <w:r w:rsidR="009E5C7C">
        <w:rPr>
          <w:color w:val="000000"/>
          <w:lang w:val="en-GB"/>
        </w:rPr>
        <w:t>I</w:t>
      </w:r>
      <w:r w:rsidR="009E5C7C" w:rsidRPr="009E5C7C">
        <w:rPr>
          <w:color w:val="000000"/>
          <w:lang w:val="en-GB"/>
        </w:rPr>
        <w:t>t advocates free access to scientific literature through the Internet.</w:t>
      </w:r>
    </w:p>
    <w:p w14:paraId="022E6F94" w14:textId="7A105656" w:rsidR="00526D83" w:rsidRPr="009E5C7C" w:rsidRDefault="00F713DD" w:rsidP="00D72FD2">
      <w:pPr>
        <w:numPr>
          <w:ilvl w:val="0"/>
          <w:numId w:val="3"/>
        </w:numPr>
        <w:pBdr>
          <w:top w:val="nil"/>
          <w:left w:val="nil"/>
          <w:bottom w:val="nil"/>
          <w:right w:val="nil"/>
          <w:between w:val="nil"/>
        </w:pBdr>
        <w:spacing w:after="0"/>
        <w:rPr>
          <w:lang w:val="en-GB"/>
        </w:rPr>
      </w:pPr>
      <w:hyperlink r:id="rId64" w:history="1">
        <w:r w:rsidR="00526D83" w:rsidRPr="008A2349">
          <w:rPr>
            <w:color w:val="7030A0"/>
            <w:u w:val="single"/>
            <w:lang w:val="en-GB"/>
          </w:rPr>
          <w:t xml:space="preserve">Bethesda </w:t>
        </w:r>
        <w:r w:rsidR="009E5C7C" w:rsidRPr="008A2349">
          <w:rPr>
            <w:color w:val="7030A0"/>
            <w:u w:val="single"/>
            <w:lang w:val="en-GB"/>
          </w:rPr>
          <w:t>statement on open access publication</w:t>
        </w:r>
      </w:hyperlink>
      <w:r w:rsidR="00526D83" w:rsidRPr="009E5C7C">
        <w:rPr>
          <w:color w:val="000000"/>
          <w:lang w:val="en-GB"/>
        </w:rPr>
        <w:t xml:space="preserve"> (2003): </w:t>
      </w:r>
      <w:r w:rsidR="009E5C7C" w:rsidRPr="009E5C7C">
        <w:rPr>
          <w:color w:val="000000"/>
          <w:lang w:val="en-GB"/>
        </w:rPr>
        <w:t>The archive of scientific papers in open access repositories is recommended.</w:t>
      </w:r>
    </w:p>
    <w:p w14:paraId="4A7B44CD" w14:textId="44AF3890" w:rsidR="00526D83" w:rsidRPr="009E5C7C" w:rsidRDefault="00F713DD" w:rsidP="00D72FD2">
      <w:pPr>
        <w:numPr>
          <w:ilvl w:val="0"/>
          <w:numId w:val="3"/>
        </w:numPr>
        <w:pBdr>
          <w:top w:val="nil"/>
          <w:left w:val="nil"/>
          <w:bottom w:val="nil"/>
          <w:right w:val="nil"/>
          <w:between w:val="nil"/>
        </w:pBdr>
        <w:spacing w:after="0"/>
        <w:rPr>
          <w:lang w:val="en-GB"/>
        </w:rPr>
      </w:pPr>
      <w:hyperlink r:id="rId65">
        <w:r w:rsidR="00526D83" w:rsidRPr="008A2349">
          <w:rPr>
            <w:color w:val="7030A0"/>
            <w:u w:val="single"/>
            <w:lang w:val="en-GB"/>
          </w:rPr>
          <w:t>Berlin Declaration on Open Access to Knowledge in the Sciences and Humanities</w:t>
        </w:r>
      </w:hyperlink>
      <w:r w:rsidR="00526D83" w:rsidRPr="009E5C7C">
        <w:rPr>
          <w:color w:val="000000"/>
          <w:lang w:val="en-GB"/>
        </w:rPr>
        <w:t xml:space="preserve"> (2003): </w:t>
      </w:r>
      <w:r w:rsidR="009E5C7C">
        <w:rPr>
          <w:color w:val="000000"/>
          <w:lang w:val="en-GB"/>
        </w:rPr>
        <w:t xml:space="preserve">The </w:t>
      </w:r>
      <w:r w:rsidR="009E5C7C" w:rsidRPr="009E5C7C">
        <w:rPr>
          <w:color w:val="000000"/>
          <w:lang w:val="en-GB"/>
        </w:rPr>
        <w:t xml:space="preserve">two previous declarations are </w:t>
      </w:r>
      <w:r w:rsidR="008A2349" w:rsidRPr="009E5C7C">
        <w:rPr>
          <w:color w:val="000000"/>
          <w:lang w:val="en-GB"/>
        </w:rPr>
        <w:t>ratified;</w:t>
      </w:r>
      <w:r w:rsidR="009E5C7C" w:rsidRPr="009E5C7C">
        <w:rPr>
          <w:color w:val="000000"/>
          <w:lang w:val="en-GB"/>
        </w:rPr>
        <w:t xml:space="preserve"> the Open Access movement is openly supported and the institutions are committed to </w:t>
      </w:r>
      <w:r w:rsidR="008A2349" w:rsidRPr="009E5C7C">
        <w:rPr>
          <w:color w:val="000000"/>
          <w:lang w:val="en-GB"/>
        </w:rPr>
        <w:t>favouring</w:t>
      </w:r>
      <w:r w:rsidR="009E5C7C" w:rsidRPr="009E5C7C">
        <w:rPr>
          <w:color w:val="000000"/>
          <w:lang w:val="en-GB"/>
        </w:rPr>
        <w:t xml:space="preserve"> and promoting this path.</w:t>
      </w:r>
    </w:p>
    <w:p w14:paraId="1CAAE382" w14:textId="06A90A4B" w:rsidR="009E5C7C" w:rsidRPr="009E5C7C" w:rsidRDefault="009E5C7C" w:rsidP="00731FC7">
      <w:pPr>
        <w:spacing w:after="0"/>
        <w:rPr>
          <w:lang w:val="en-GB"/>
        </w:rPr>
      </w:pPr>
      <w:r w:rsidRPr="009E5C7C">
        <w:rPr>
          <w:lang w:val="en-GB"/>
        </w:rPr>
        <w:t xml:space="preserve">According to these statements, open access is defined with the following characteristics: </w:t>
      </w:r>
      <w:r w:rsidRPr="009E5C7C">
        <w:rPr>
          <w:b/>
          <w:lang w:val="en-GB"/>
        </w:rPr>
        <w:t xml:space="preserve">digital, online, </w:t>
      </w:r>
      <w:r w:rsidR="008A2349" w:rsidRPr="008A2349">
        <w:rPr>
          <w:b/>
          <w:lang w:val="en-GB"/>
        </w:rPr>
        <w:t>free of charge</w:t>
      </w:r>
      <w:r w:rsidRPr="009E5C7C">
        <w:rPr>
          <w:b/>
          <w:lang w:val="en-GB"/>
        </w:rPr>
        <w:t xml:space="preserve"> and free of most copyright and licensing restrictions</w:t>
      </w:r>
      <w:r w:rsidRPr="009E5C7C">
        <w:rPr>
          <w:lang w:val="en-GB"/>
        </w:rPr>
        <w:t>. This makes easy for anyone to read, download, copy, distribute, print, search or link the texts of the scientific articles and the accompanying data to use them for any other legitimate purpose.</w:t>
      </w:r>
    </w:p>
    <w:p w14:paraId="538661F9" w14:textId="45A447A6" w:rsidR="009E5C7C" w:rsidRPr="009E5C7C" w:rsidRDefault="009E5C7C" w:rsidP="00731FC7">
      <w:pPr>
        <w:spacing w:after="0"/>
        <w:rPr>
          <w:lang w:val="en-GB"/>
        </w:rPr>
      </w:pPr>
      <w:r w:rsidRPr="009E5C7C">
        <w:rPr>
          <w:lang w:val="en-GB"/>
        </w:rPr>
        <w:t xml:space="preserve">The open access movement has quickly gained great international support and thanks to this, there are now large repositories (and meta-repositories) of open access scientific content (including data), such as </w:t>
      </w:r>
      <w:hyperlink r:id="rId66">
        <w:r w:rsidRPr="008A2349">
          <w:rPr>
            <w:color w:val="7030A0"/>
            <w:u w:val="single"/>
            <w:lang w:val="en-GB"/>
          </w:rPr>
          <w:t>SciELO</w:t>
        </w:r>
      </w:hyperlink>
      <w:r w:rsidRPr="009E5C7C">
        <w:rPr>
          <w:lang w:val="en-GB"/>
        </w:rPr>
        <w:t xml:space="preserve"> (Scientific Electronic Library Online), </w:t>
      </w:r>
      <w:hyperlink r:id="rId67">
        <w:r w:rsidRPr="008A2349">
          <w:rPr>
            <w:color w:val="7030A0"/>
            <w:u w:val="single"/>
            <w:lang w:val="en-GB"/>
          </w:rPr>
          <w:t>ROAR</w:t>
        </w:r>
      </w:hyperlink>
      <w:r w:rsidRPr="009E5C7C">
        <w:rPr>
          <w:lang w:val="en-GB"/>
        </w:rPr>
        <w:t xml:space="preserve"> (Registry of Open Access Repositories), </w:t>
      </w:r>
      <w:hyperlink r:id="rId68">
        <w:r w:rsidRPr="008A2349">
          <w:rPr>
            <w:color w:val="7030A0"/>
            <w:u w:val="single"/>
            <w:lang w:val="en-GB"/>
          </w:rPr>
          <w:t>DOAJ</w:t>
        </w:r>
      </w:hyperlink>
      <w:r w:rsidRPr="009E5C7C">
        <w:rPr>
          <w:lang w:val="en-GB"/>
        </w:rPr>
        <w:t xml:space="preserve"> (Directory of Open Access Journals) or </w:t>
      </w:r>
      <w:hyperlink r:id="rId69">
        <w:r w:rsidR="005F5F2F" w:rsidRPr="008A2349">
          <w:rPr>
            <w:color w:val="7030A0"/>
            <w:u w:val="single"/>
            <w:lang w:val="en-GB"/>
          </w:rPr>
          <w:t>OAPEN</w:t>
        </w:r>
      </w:hyperlink>
      <w:r w:rsidRPr="009E5C7C">
        <w:rPr>
          <w:lang w:val="en-GB"/>
        </w:rPr>
        <w:t xml:space="preserve"> (Open Access Publishing in European Networks)</w:t>
      </w:r>
      <w:r w:rsidR="008A2349">
        <w:rPr>
          <w:lang w:val="en-GB"/>
        </w:rPr>
        <w:t>,</w:t>
      </w:r>
      <w:r w:rsidRPr="009E5C7C">
        <w:rPr>
          <w:lang w:val="en-GB"/>
        </w:rPr>
        <w:t xml:space="preserve"> among others.</w:t>
      </w:r>
    </w:p>
    <w:p w14:paraId="254FE6BE" w14:textId="016F3B4E" w:rsidR="005F5F2F" w:rsidRPr="005F5F2F" w:rsidRDefault="005F5F2F" w:rsidP="00731FC7">
      <w:pPr>
        <w:spacing w:after="0"/>
        <w:rPr>
          <w:lang w:val="en-GB"/>
        </w:rPr>
      </w:pPr>
      <w:r w:rsidRPr="005F5F2F">
        <w:rPr>
          <w:lang w:val="en-GB"/>
        </w:rPr>
        <w:lastRenderedPageBreak/>
        <w:t xml:space="preserve">In Spain, </w:t>
      </w:r>
      <w:hyperlink r:id="rId70" w:history="1">
        <w:r w:rsidRPr="008A2349">
          <w:rPr>
            <w:color w:val="7030A0"/>
            <w:u w:val="single"/>
            <w:lang w:val="en-GB"/>
          </w:rPr>
          <w:t>Royal Decree 99/2011</w:t>
        </w:r>
      </w:hyperlink>
      <w:r w:rsidRPr="005F5F2F">
        <w:rPr>
          <w:lang w:val="en-GB"/>
        </w:rPr>
        <w:t xml:space="preserve">, which regulates the official </w:t>
      </w:r>
      <w:r>
        <w:rPr>
          <w:lang w:val="en-GB"/>
        </w:rPr>
        <w:t>Phd</w:t>
      </w:r>
      <w:r w:rsidRPr="005F5F2F">
        <w:rPr>
          <w:lang w:val="en-GB"/>
        </w:rPr>
        <w:t xml:space="preserve"> teachings, establishes the obligation of the corresponding Universit</w:t>
      </w:r>
      <w:r w:rsidR="008A2349">
        <w:rPr>
          <w:lang w:val="en-GB"/>
        </w:rPr>
        <w:t>ies</w:t>
      </w:r>
      <w:r w:rsidRPr="005F5F2F">
        <w:rPr>
          <w:lang w:val="en-GB"/>
        </w:rPr>
        <w:t xml:space="preserve"> to </w:t>
      </w:r>
      <w:r>
        <w:rPr>
          <w:lang w:val="en-GB"/>
        </w:rPr>
        <w:t>archive</w:t>
      </w:r>
      <w:r w:rsidRPr="005F5F2F">
        <w:rPr>
          <w:lang w:val="en-GB"/>
        </w:rPr>
        <w:t xml:space="preserve"> a copy of doctoral theses in electronic open format in an institutional repository</w:t>
      </w:r>
      <w:r>
        <w:rPr>
          <w:lang w:val="en-GB"/>
        </w:rPr>
        <w:t xml:space="preserve">. In addition, </w:t>
      </w:r>
      <w:hyperlink r:id="rId71" w:history="1">
        <w:r w:rsidRPr="008A2349">
          <w:rPr>
            <w:color w:val="7030A0"/>
            <w:u w:val="single"/>
            <w:lang w:val="en-GB"/>
          </w:rPr>
          <w:t>Law 14 / 2011 of Science, Technology and Research</w:t>
        </w:r>
      </w:hyperlink>
      <w:r w:rsidRPr="005F5F2F">
        <w:rPr>
          <w:lang w:val="en-GB"/>
        </w:rPr>
        <w:t xml:space="preserve"> also establishes the obligation of consigning a digital version of the final version of those projects in open access repositories within their own field of knowledge</w:t>
      </w:r>
      <w:r>
        <w:rPr>
          <w:lang w:val="en-GB"/>
        </w:rPr>
        <w:t xml:space="preserve">, when they </w:t>
      </w:r>
      <w:r w:rsidRPr="005F5F2F">
        <w:rPr>
          <w:lang w:val="en-GB"/>
        </w:rPr>
        <w:t xml:space="preserve">have been (mostly) financed </w:t>
      </w:r>
      <w:r w:rsidR="008A2349">
        <w:rPr>
          <w:lang w:val="en-GB"/>
        </w:rPr>
        <w:t>through</w:t>
      </w:r>
      <w:r>
        <w:rPr>
          <w:lang w:val="en-GB"/>
        </w:rPr>
        <w:t xml:space="preserve"> </w:t>
      </w:r>
      <w:r w:rsidRPr="005F5F2F">
        <w:rPr>
          <w:lang w:val="en-GB"/>
        </w:rPr>
        <w:t xml:space="preserve">State's general budgets. </w:t>
      </w:r>
      <w:hyperlink r:id="rId72">
        <w:r w:rsidRPr="000E7988">
          <w:rPr>
            <w:color w:val="7030A0"/>
            <w:u w:val="single"/>
            <w:lang w:val="en-GB"/>
          </w:rPr>
          <w:t>RECOLECTA</w:t>
        </w:r>
      </w:hyperlink>
      <w:r w:rsidRPr="005F5F2F">
        <w:rPr>
          <w:lang w:val="en-GB"/>
        </w:rPr>
        <w:t xml:space="preserve"> is the platform that brings together all national open science repositories, with more than two million documents indexed to date.</w:t>
      </w:r>
    </w:p>
    <w:p w14:paraId="687F2520" w14:textId="170C1C4D" w:rsidR="005F5F2F" w:rsidRPr="005F5F2F" w:rsidRDefault="005F5F2F" w:rsidP="00731FC7">
      <w:pPr>
        <w:spacing w:after="0"/>
        <w:rPr>
          <w:lang w:val="en-GB"/>
        </w:rPr>
      </w:pPr>
      <w:r w:rsidRPr="005F5F2F">
        <w:rPr>
          <w:lang w:val="en-GB"/>
        </w:rPr>
        <w:t xml:space="preserve">The European Commission has also been carrying out a </w:t>
      </w:r>
      <w:hyperlink r:id="rId73" w:history="1">
        <w:r w:rsidRPr="000E7988">
          <w:rPr>
            <w:color w:val="7030A0"/>
            <w:u w:val="single"/>
            <w:lang w:val="en-GB"/>
          </w:rPr>
          <w:t>pilot project (ORD) on open access</w:t>
        </w:r>
      </w:hyperlink>
      <w:r w:rsidRPr="005F5F2F">
        <w:rPr>
          <w:lang w:val="en-GB"/>
        </w:rPr>
        <w:t xml:space="preserve"> to research data in the Horizon 2020 program as part of its long-term objective of ensuring that research data is always </w:t>
      </w:r>
      <w:r w:rsidRPr="005F5F2F">
        <w:rPr>
          <w:i/>
          <w:lang w:val="en-GB"/>
        </w:rPr>
        <w:t>open by default</w:t>
      </w:r>
      <w:r w:rsidRPr="005F5F2F">
        <w:rPr>
          <w:lang w:val="en-GB"/>
        </w:rPr>
        <w:t>. Thanks to this pilot, all projects that receive funding from the program must ensure that the articles and data they publish are available openly and free of charge.</w:t>
      </w:r>
    </w:p>
    <w:p w14:paraId="6EFF34DD" w14:textId="4B9DE634" w:rsidR="00526D83" w:rsidRPr="005F5F2F" w:rsidRDefault="00526D83" w:rsidP="00B7528C">
      <w:pPr>
        <w:pStyle w:val="Ttulo3"/>
        <w:numPr>
          <w:ilvl w:val="0"/>
          <w:numId w:val="0"/>
        </w:numPr>
        <w:spacing w:before="240" w:after="0" w:line="360" w:lineRule="auto"/>
        <w:ind w:left="720" w:hanging="720"/>
        <w:rPr>
          <w:lang w:val="en-GB"/>
        </w:rPr>
      </w:pPr>
      <w:bookmarkStart w:id="21" w:name="_Toc30777398"/>
      <w:bookmarkStart w:id="22" w:name="_Toc34134694"/>
      <w:r w:rsidRPr="005F5F2F">
        <w:rPr>
          <w:lang w:val="en-GB"/>
        </w:rPr>
        <w:t xml:space="preserve">1.2.2 – </w:t>
      </w:r>
      <w:bookmarkEnd w:id="21"/>
      <w:r w:rsidR="005F5F2F" w:rsidRPr="005F5F2F">
        <w:rPr>
          <w:lang w:val="en-GB"/>
        </w:rPr>
        <w:t>Public domain data</w:t>
      </w:r>
      <w:bookmarkEnd w:id="22"/>
    </w:p>
    <w:p w14:paraId="7130FED4" w14:textId="3E38648C" w:rsidR="005F5F2F" w:rsidRPr="005F5F2F" w:rsidRDefault="005F5F2F" w:rsidP="005F5F2F">
      <w:pPr>
        <w:pBdr>
          <w:top w:val="nil"/>
          <w:left w:val="nil"/>
          <w:bottom w:val="nil"/>
          <w:right w:val="nil"/>
          <w:between w:val="nil"/>
        </w:pBdr>
        <w:spacing w:after="0"/>
        <w:rPr>
          <w:color w:val="000000"/>
          <w:lang w:val="en-GB"/>
        </w:rPr>
      </w:pPr>
      <w:r w:rsidRPr="005F5F2F">
        <w:rPr>
          <w:color w:val="000000"/>
          <w:lang w:val="en-GB"/>
        </w:rPr>
        <w:t xml:space="preserve">Throughout history, communities have been sharing and managing common resources of special relevance for the </w:t>
      </w:r>
      <w:r w:rsidRPr="005F5F2F">
        <w:rPr>
          <w:b/>
          <w:color w:val="000000"/>
          <w:lang w:val="en-GB"/>
        </w:rPr>
        <w:t>benefit of the community</w:t>
      </w:r>
      <w:r w:rsidRPr="005F5F2F">
        <w:rPr>
          <w:color w:val="000000"/>
          <w:lang w:val="en-GB"/>
        </w:rPr>
        <w:t xml:space="preserve">, such as forests, hunting or grazing areas, always in a self-regulated way and within </w:t>
      </w:r>
      <w:r>
        <w:rPr>
          <w:color w:val="000000"/>
          <w:lang w:val="en-GB"/>
        </w:rPr>
        <w:t>the so-called</w:t>
      </w:r>
      <w:r w:rsidRPr="005F5F2F">
        <w:rPr>
          <w:color w:val="000000"/>
          <w:lang w:val="en-GB"/>
        </w:rPr>
        <w:t xml:space="preserve"> </w:t>
      </w:r>
      <w:hyperlink r:id="rId74" w:history="1">
        <w:r w:rsidRPr="00433274">
          <w:rPr>
            <w:color w:val="7030A0"/>
            <w:u w:val="single"/>
            <w:lang w:val="en-GB"/>
          </w:rPr>
          <w:t>public domain</w:t>
        </w:r>
        <w:r w:rsidRPr="00433274">
          <w:rPr>
            <w:color w:val="000000"/>
            <w:lang w:val="en-GB"/>
          </w:rPr>
          <w:t>.</w:t>
        </w:r>
      </w:hyperlink>
    </w:p>
    <w:p w14:paraId="68FD66F1" w14:textId="5D884327" w:rsidR="005F5F2F" w:rsidRPr="00433274" w:rsidRDefault="005F5F2F" w:rsidP="005F5F2F">
      <w:pPr>
        <w:pBdr>
          <w:top w:val="nil"/>
          <w:left w:val="nil"/>
          <w:bottom w:val="nil"/>
          <w:right w:val="nil"/>
          <w:between w:val="nil"/>
        </w:pBdr>
        <w:spacing w:after="0"/>
        <w:rPr>
          <w:color w:val="000000"/>
          <w:lang w:val="en-GB"/>
        </w:rPr>
      </w:pPr>
      <w:r w:rsidRPr="005F5F2F">
        <w:rPr>
          <w:color w:val="000000"/>
          <w:lang w:val="en-GB"/>
        </w:rPr>
        <w:t xml:space="preserve">The approach to the use of data based on the public domain (or data commons) follows a similar approach through which the </w:t>
      </w:r>
      <w:r w:rsidRPr="005F5F2F">
        <w:rPr>
          <w:b/>
          <w:color w:val="000000"/>
          <w:lang w:val="en-GB"/>
        </w:rPr>
        <w:t>data is a new shared resource that will be exploited for the common benefit</w:t>
      </w:r>
      <w:r w:rsidRPr="005F5F2F">
        <w:rPr>
          <w:color w:val="000000"/>
          <w:lang w:val="en-GB"/>
        </w:rPr>
        <w:t xml:space="preserve">. </w:t>
      </w:r>
      <w:r w:rsidRPr="00433274">
        <w:rPr>
          <w:color w:val="000000"/>
          <w:lang w:val="en-GB"/>
        </w:rPr>
        <w:t>Once a community of interest has been established around a series of data, there are two main actions that we must carry out in order to create data commons effectively:</w:t>
      </w:r>
    </w:p>
    <w:p w14:paraId="164AD10E" w14:textId="3DA03428" w:rsidR="00526D83" w:rsidRPr="0091427A" w:rsidRDefault="0091427A" w:rsidP="00D72FD2">
      <w:pPr>
        <w:numPr>
          <w:ilvl w:val="0"/>
          <w:numId w:val="4"/>
        </w:numPr>
        <w:pBdr>
          <w:top w:val="nil"/>
          <w:left w:val="nil"/>
          <w:bottom w:val="nil"/>
          <w:right w:val="nil"/>
          <w:between w:val="nil"/>
        </w:pBdr>
        <w:spacing w:after="0"/>
        <w:jc w:val="left"/>
        <w:rPr>
          <w:b/>
          <w:color w:val="000000"/>
          <w:lang w:val="en-GB"/>
        </w:rPr>
      </w:pPr>
      <w:r w:rsidRPr="0091427A">
        <w:rPr>
          <w:b/>
          <w:color w:val="000000"/>
          <w:lang w:val="en-GB"/>
        </w:rPr>
        <w:t>The collaborative design of the rules and protocols of use</w:t>
      </w:r>
    </w:p>
    <w:p w14:paraId="50DA5DBA" w14:textId="5530441B" w:rsidR="00BF6052" w:rsidRPr="00BF6052" w:rsidRDefault="00BF6052" w:rsidP="00731FC7">
      <w:pPr>
        <w:pBdr>
          <w:top w:val="nil"/>
          <w:left w:val="nil"/>
          <w:bottom w:val="nil"/>
          <w:right w:val="nil"/>
          <w:between w:val="nil"/>
        </w:pBdr>
        <w:spacing w:after="0"/>
        <w:rPr>
          <w:color w:val="000000"/>
          <w:lang w:val="en-GB"/>
        </w:rPr>
      </w:pPr>
      <w:r w:rsidRPr="00BF6052">
        <w:rPr>
          <w:color w:val="000000"/>
          <w:lang w:val="en-GB"/>
        </w:rPr>
        <w:t xml:space="preserve">Developing </w:t>
      </w:r>
      <w:r w:rsidR="000E7988" w:rsidRPr="00BF6052">
        <w:rPr>
          <w:color w:val="000000"/>
          <w:lang w:val="en-GB"/>
        </w:rPr>
        <w:t xml:space="preserve">(both technological and social) </w:t>
      </w:r>
      <w:r w:rsidRPr="00BF6052">
        <w:rPr>
          <w:color w:val="000000"/>
          <w:lang w:val="en-GB"/>
        </w:rPr>
        <w:t>principles and protocols for action</w:t>
      </w:r>
      <w:r w:rsidR="000E7988">
        <w:rPr>
          <w:color w:val="000000"/>
          <w:lang w:val="en-GB"/>
        </w:rPr>
        <w:t>,</w:t>
      </w:r>
      <w:r w:rsidRPr="00BF6052">
        <w:rPr>
          <w:color w:val="000000"/>
          <w:lang w:val="en-GB"/>
        </w:rPr>
        <w:t xml:space="preserve"> also known as "</w:t>
      </w:r>
      <w:r w:rsidRPr="00BF6052">
        <w:rPr>
          <w:i/>
          <w:color w:val="000000"/>
          <w:lang w:val="en-GB"/>
        </w:rPr>
        <w:t>community contract</w:t>
      </w:r>
      <w:r w:rsidRPr="00BF6052">
        <w:rPr>
          <w:color w:val="000000"/>
          <w:lang w:val="en-GB"/>
        </w:rPr>
        <w:t>"</w:t>
      </w:r>
      <w:r w:rsidR="000E7988">
        <w:rPr>
          <w:color w:val="000000"/>
          <w:lang w:val="en-GB"/>
        </w:rPr>
        <w:t>,</w:t>
      </w:r>
      <w:r w:rsidRPr="00BF6052">
        <w:rPr>
          <w:color w:val="000000"/>
          <w:lang w:val="en-GB"/>
        </w:rPr>
        <w:t xml:space="preserve"> that establish the common agreement and govern their reuse. The way in which these protocols are developed is as important as the protocols themselves, with peer participation being the key to success.</w:t>
      </w:r>
    </w:p>
    <w:p w14:paraId="72F62880" w14:textId="556F5382" w:rsidR="00526D83" w:rsidRDefault="00BF6052" w:rsidP="00D72FD2">
      <w:pPr>
        <w:numPr>
          <w:ilvl w:val="0"/>
          <w:numId w:val="4"/>
        </w:numPr>
        <w:pBdr>
          <w:top w:val="nil"/>
          <w:left w:val="nil"/>
          <w:bottom w:val="nil"/>
          <w:right w:val="nil"/>
          <w:between w:val="nil"/>
        </w:pBdr>
        <w:spacing w:after="0"/>
        <w:jc w:val="left"/>
        <w:rPr>
          <w:b/>
          <w:i/>
          <w:color w:val="000000"/>
        </w:rPr>
      </w:pPr>
      <w:r>
        <w:rPr>
          <w:b/>
          <w:color w:val="000000"/>
        </w:rPr>
        <w:lastRenderedPageBreak/>
        <w:t>Launch of</w:t>
      </w:r>
      <w:r w:rsidRPr="00BF6052">
        <w:rPr>
          <w:b/>
          <w:i/>
          <w:color w:val="000000"/>
        </w:rPr>
        <w:t xml:space="preserve"> Data Commons</w:t>
      </w:r>
    </w:p>
    <w:p w14:paraId="4255BFE3" w14:textId="77777777" w:rsidR="00BF6052" w:rsidRPr="00BF6052" w:rsidRDefault="00BF6052" w:rsidP="00BF6052">
      <w:pPr>
        <w:pBdr>
          <w:top w:val="nil"/>
          <w:left w:val="nil"/>
          <w:bottom w:val="nil"/>
          <w:right w:val="nil"/>
          <w:between w:val="nil"/>
        </w:pBdr>
        <w:spacing w:after="0"/>
        <w:rPr>
          <w:color w:val="000000"/>
          <w:lang w:val="en-GB"/>
        </w:rPr>
      </w:pPr>
      <w:r w:rsidRPr="00BF6052">
        <w:rPr>
          <w:color w:val="000000"/>
          <w:lang w:val="en-GB"/>
        </w:rPr>
        <w:t>Implementing specific data reuse solutions that use protocols designed as a basis for relations with the user community and provide high value for them through their own data.</w:t>
      </w:r>
    </w:p>
    <w:p w14:paraId="2AC9C3E6" w14:textId="77777777" w:rsidR="00BF6052" w:rsidRPr="00BF6052" w:rsidRDefault="00BF6052" w:rsidP="00BF6052">
      <w:pPr>
        <w:pBdr>
          <w:top w:val="nil"/>
          <w:left w:val="nil"/>
          <w:bottom w:val="nil"/>
          <w:right w:val="nil"/>
          <w:between w:val="nil"/>
        </w:pBdr>
        <w:spacing w:after="0"/>
        <w:rPr>
          <w:color w:val="000000"/>
          <w:lang w:val="en-GB"/>
        </w:rPr>
      </w:pPr>
      <w:r w:rsidRPr="00BF6052">
        <w:rPr>
          <w:color w:val="000000"/>
          <w:lang w:val="en-GB"/>
        </w:rPr>
        <w:t>There are also a series of basic principles that will be fundamental when building a data integration and reuse model based on the public domain:</w:t>
      </w:r>
    </w:p>
    <w:p w14:paraId="7FEEEDFB" w14:textId="47B046CB" w:rsidR="00BF6052" w:rsidRPr="00BF6052" w:rsidRDefault="00BF6052" w:rsidP="00BF6052">
      <w:pPr>
        <w:numPr>
          <w:ilvl w:val="0"/>
          <w:numId w:val="11"/>
        </w:numPr>
        <w:pBdr>
          <w:top w:val="nil"/>
          <w:left w:val="nil"/>
          <w:bottom w:val="nil"/>
          <w:right w:val="nil"/>
          <w:between w:val="nil"/>
        </w:pBdr>
        <w:spacing w:after="0"/>
        <w:rPr>
          <w:color w:val="000000"/>
          <w:lang w:val="en-GB"/>
        </w:rPr>
      </w:pPr>
      <w:r w:rsidRPr="00BF6052">
        <w:rPr>
          <w:color w:val="000000"/>
          <w:lang w:val="en-GB"/>
        </w:rPr>
        <w:t xml:space="preserve">The data must be a </w:t>
      </w:r>
      <w:r w:rsidRPr="00BF6052">
        <w:rPr>
          <w:b/>
          <w:color w:val="000000"/>
          <w:lang w:val="en-GB"/>
        </w:rPr>
        <w:t>resource of common use and for the common good</w:t>
      </w:r>
      <w:r w:rsidRPr="00BF6052">
        <w:rPr>
          <w:color w:val="000000"/>
          <w:lang w:val="en-GB"/>
        </w:rPr>
        <w:t>.</w:t>
      </w:r>
    </w:p>
    <w:p w14:paraId="0C2CAC93" w14:textId="31A2FDA6" w:rsidR="00BF6052" w:rsidRPr="00BF6052" w:rsidRDefault="00BF6052" w:rsidP="00BF6052">
      <w:pPr>
        <w:numPr>
          <w:ilvl w:val="0"/>
          <w:numId w:val="11"/>
        </w:numPr>
        <w:pBdr>
          <w:top w:val="nil"/>
          <w:left w:val="nil"/>
          <w:bottom w:val="nil"/>
          <w:right w:val="nil"/>
          <w:between w:val="nil"/>
        </w:pBdr>
        <w:spacing w:after="0"/>
        <w:rPr>
          <w:color w:val="000000"/>
          <w:lang w:val="en-GB"/>
        </w:rPr>
      </w:pPr>
      <w:r w:rsidRPr="00BF6052">
        <w:rPr>
          <w:color w:val="000000"/>
          <w:lang w:val="en-GB"/>
        </w:rPr>
        <w:t>The added value will be given by</w:t>
      </w:r>
      <w:r w:rsidR="000E7988">
        <w:rPr>
          <w:color w:val="000000"/>
          <w:lang w:val="en-GB"/>
        </w:rPr>
        <w:t xml:space="preserve"> the</w:t>
      </w:r>
      <w:r w:rsidRPr="00BF6052">
        <w:rPr>
          <w:color w:val="000000"/>
          <w:lang w:val="en-GB"/>
        </w:rPr>
        <w:t xml:space="preserve"> </w:t>
      </w:r>
      <w:r w:rsidRPr="00BF6052">
        <w:rPr>
          <w:b/>
          <w:color w:val="000000"/>
          <w:lang w:val="en-GB"/>
        </w:rPr>
        <w:t>reuse or integration</w:t>
      </w:r>
      <w:r w:rsidRPr="00BF6052">
        <w:rPr>
          <w:color w:val="000000"/>
          <w:lang w:val="en-GB"/>
        </w:rPr>
        <w:t xml:space="preserve"> with other data.</w:t>
      </w:r>
    </w:p>
    <w:p w14:paraId="28E53695" w14:textId="710FC0F0" w:rsidR="00BF6052" w:rsidRPr="00BF6052" w:rsidRDefault="00BF6052" w:rsidP="00BF6052">
      <w:pPr>
        <w:numPr>
          <w:ilvl w:val="0"/>
          <w:numId w:val="11"/>
        </w:numPr>
        <w:pBdr>
          <w:top w:val="nil"/>
          <w:left w:val="nil"/>
          <w:bottom w:val="nil"/>
          <w:right w:val="nil"/>
          <w:between w:val="nil"/>
        </w:pBdr>
        <w:spacing w:after="0"/>
        <w:rPr>
          <w:color w:val="000000"/>
          <w:lang w:val="en-GB"/>
        </w:rPr>
      </w:pPr>
      <w:r w:rsidRPr="00BF6052">
        <w:rPr>
          <w:color w:val="000000"/>
          <w:lang w:val="en-GB"/>
        </w:rPr>
        <w:t xml:space="preserve">The </w:t>
      </w:r>
      <w:r w:rsidRPr="00BF6052">
        <w:rPr>
          <w:b/>
          <w:color w:val="000000"/>
          <w:lang w:val="en-GB"/>
        </w:rPr>
        <w:t xml:space="preserve">correct use </w:t>
      </w:r>
      <w:r w:rsidRPr="00BF6052">
        <w:rPr>
          <w:color w:val="000000"/>
          <w:lang w:val="en-GB"/>
        </w:rPr>
        <w:t>of the data must be guaranteed, according to the established rules.</w:t>
      </w:r>
    </w:p>
    <w:p w14:paraId="7C6BA7ED" w14:textId="643D8536" w:rsidR="00BF6052" w:rsidRPr="00BF6052" w:rsidRDefault="00BF6052" w:rsidP="00BF6052">
      <w:pPr>
        <w:numPr>
          <w:ilvl w:val="0"/>
          <w:numId w:val="11"/>
        </w:numPr>
        <w:pBdr>
          <w:top w:val="nil"/>
          <w:left w:val="nil"/>
          <w:bottom w:val="nil"/>
          <w:right w:val="nil"/>
          <w:between w:val="nil"/>
        </w:pBdr>
        <w:spacing w:after="0"/>
        <w:rPr>
          <w:color w:val="000000"/>
          <w:lang w:val="en-GB"/>
        </w:rPr>
      </w:pPr>
      <w:r w:rsidRPr="00BF6052">
        <w:rPr>
          <w:color w:val="000000"/>
          <w:lang w:val="en-GB"/>
        </w:rPr>
        <w:t xml:space="preserve">The system must be designed for the </w:t>
      </w:r>
      <w:r w:rsidRPr="00BF6052">
        <w:rPr>
          <w:b/>
          <w:color w:val="000000"/>
          <w:lang w:val="en-GB"/>
        </w:rPr>
        <w:t>inclusive participation</w:t>
      </w:r>
      <w:r w:rsidRPr="00BF6052">
        <w:rPr>
          <w:color w:val="000000"/>
          <w:lang w:val="en-GB"/>
        </w:rPr>
        <w:t xml:space="preserve"> of all its members.</w:t>
      </w:r>
    </w:p>
    <w:p w14:paraId="491618F9" w14:textId="6BCCC855" w:rsidR="00BF6052" w:rsidRPr="00BF6052" w:rsidRDefault="00BF6052" w:rsidP="00BF6052">
      <w:pPr>
        <w:numPr>
          <w:ilvl w:val="0"/>
          <w:numId w:val="11"/>
        </w:numPr>
        <w:pBdr>
          <w:top w:val="nil"/>
          <w:left w:val="nil"/>
          <w:bottom w:val="nil"/>
          <w:right w:val="nil"/>
          <w:between w:val="nil"/>
        </w:pBdr>
        <w:spacing w:after="0"/>
        <w:rPr>
          <w:color w:val="000000"/>
          <w:lang w:val="en-GB"/>
        </w:rPr>
      </w:pPr>
      <w:r w:rsidRPr="00BF6052">
        <w:rPr>
          <w:color w:val="000000"/>
          <w:lang w:val="en-GB"/>
        </w:rPr>
        <w:t xml:space="preserve">The final </w:t>
      </w:r>
      <w:r w:rsidRPr="00BF6052">
        <w:rPr>
          <w:b/>
          <w:color w:val="000000"/>
          <w:lang w:val="en-GB"/>
        </w:rPr>
        <w:t>control</w:t>
      </w:r>
      <w:r w:rsidRPr="00BF6052">
        <w:rPr>
          <w:color w:val="000000"/>
          <w:lang w:val="en-GB"/>
        </w:rPr>
        <w:t xml:space="preserve"> must be in the hands of </w:t>
      </w:r>
      <w:r w:rsidRPr="00BF6052">
        <w:rPr>
          <w:b/>
          <w:color w:val="000000"/>
          <w:lang w:val="en-GB"/>
        </w:rPr>
        <w:t>those most affected</w:t>
      </w:r>
      <w:r w:rsidRPr="00BF6052">
        <w:rPr>
          <w:color w:val="000000"/>
          <w:lang w:val="en-GB"/>
        </w:rPr>
        <w:t xml:space="preserve"> by the decisions that are going to be made around the data.</w:t>
      </w:r>
    </w:p>
    <w:p w14:paraId="48785D92" w14:textId="4E73249F" w:rsidR="00BF6052" w:rsidRPr="00BF6052" w:rsidRDefault="00BF6052" w:rsidP="00BF6052">
      <w:pPr>
        <w:numPr>
          <w:ilvl w:val="0"/>
          <w:numId w:val="11"/>
        </w:numPr>
        <w:pBdr>
          <w:top w:val="nil"/>
          <w:left w:val="nil"/>
          <w:bottom w:val="nil"/>
          <w:right w:val="nil"/>
          <w:between w:val="nil"/>
        </w:pBdr>
        <w:spacing w:after="0"/>
        <w:rPr>
          <w:color w:val="000000"/>
          <w:lang w:val="en-GB"/>
        </w:rPr>
      </w:pPr>
      <w:r w:rsidRPr="00BF6052">
        <w:rPr>
          <w:color w:val="000000"/>
          <w:lang w:val="en-GB"/>
        </w:rPr>
        <w:t xml:space="preserve">The </w:t>
      </w:r>
      <w:r w:rsidRPr="00BF6052">
        <w:rPr>
          <w:b/>
          <w:color w:val="000000"/>
          <w:lang w:val="en-GB"/>
        </w:rPr>
        <w:t>rules of use and participation</w:t>
      </w:r>
      <w:r w:rsidRPr="00BF6052">
        <w:rPr>
          <w:color w:val="000000"/>
          <w:lang w:val="en-GB"/>
        </w:rPr>
        <w:t xml:space="preserve"> should be designed to facilitate scalability.</w:t>
      </w:r>
    </w:p>
    <w:p w14:paraId="4ECC93D9" w14:textId="0F8FB65E" w:rsidR="00BF6052" w:rsidRPr="00BF6052" w:rsidRDefault="00BF6052" w:rsidP="00731FC7">
      <w:pPr>
        <w:pBdr>
          <w:top w:val="nil"/>
          <w:left w:val="nil"/>
          <w:bottom w:val="nil"/>
          <w:right w:val="nil"/>
          <w:between w:val="nil"/>
        </w:pBdr>
        <w:spacing w:after="0"/>
        <w:rPr>
          <w:lang w:val="en-GB"/>
        </w:rPr>
      </w:pPr>
      <w:r w:rsidRPr="00BF6052">
        <w:rPr>
          <w:lang w:val="en-GB"/>
        </w:rPr>
        <w:t xml:space="preserve">A good example of the application of the public domain to data is the </w:t>
      </w:r>
      <w:hyperlink r:id="rId75">
        <w:r w:rsidRPr="00433274">
          <w:rPr>
            <w:color w:val="7030A0"/>
            <w:u w:val="single"/>
            <w:lang w:val="en-GB"/>
          </w:rPr>
          <w:t>Genomic Data Commons</w:t>
        </w:r>
      </w:hyperlink>
      <w:r w:rsidRPr="00BF6052">
        <w:rPr>
          <w:lang w:val="en-GB"/>
        </w:rPr>
        <w:t xml:space="preserve"> project, whose objective is to provide the scientific community that investigates cancer with a unified repository of data on genomic studies that can be used to develop </w:t>
      </w:r>
      <w:r w:rsidR="00857993">
        <w:rPr>
          <w:lang w:val="en-GB"/>
        </w:rPr>
        <w:t>highe</w:t>
      </w:r>
      <w:r w:rsidRPr="00BF6052">
        <w:rPr>
          <w:lang w:val="en-GB"/>
        </w:rPr>
        <w:t>r</w:t>
      </w:r>
      <w:r w:rsidR="00857993">
        <w:rPr>
          <w:lang w:val="en-GB"/>
        </w:rPr>
        <w:t>-</w:t>
      </w:r>
      <w:r w:rsidR="00857993" w:rsidRPr="00BF6052">
        <w:rPr>
          <w:lang w:val="en-GB"/>
        </w:rPr>
        <w:t>precision</w:t>
      </w:r>
      <w:r w:rsidR="00857993">
        <w:rPr>
          <w:lang w:val="en-GB"/>
        </w:rPr>
        <w:t xml:space="preserve"> </w:t>
      </w:r>
      <w:r w:rsidRPr="00BF6052">
        <w:rPr>
          <w:lang w:val="en-GB"/>
        </w:rPr>
        <w:t xml:space="preserve">treatments. </w:t>
      </w:r>
    </w:p>
    <w:p w14:paraId="0B435434" w14:textId="7556A6DE" w:rsidR="00526D83" w:rsidRPr="00857993" w:rsidRDefault="00526D83" w:rsidP="00B7528C">
      <w:pPr>
        <w:pStyle w:val="Ttulo3"/>
        <w:numPr>
          <w:ilvl w:val="0"/>
          <w:numId w:val="0"/>
        </w:numPr>
        <w:spacing w:before="240" w:after="0" w:line="360" w:lineRule="auto"/>
        <w:ind w:left="720" w:hanging="720"/>
        <w:rPr>
          <w:lang w:val="en-GB"/>
        </w:rPr>
      </w:pPr>
      <w:bookmarkStart w:id="23" w:name="_Toc30777399"/>
      <w:bookmarkStart w:id="24" w:name="_Toc34134695"/>
      <w:r w:rsidRPr="00857993">
        <w:rPr>
          <w:lang w:val="en-GB"/>
        </w:rPr>
        <w:t>1.2.3 –</w:t>
      </w:r>
      <w:bookmarkEnd w:id="23"/>
      <w:r w:rsidR="00857993" w:rsidRPr="00857993">
        <w:rPr>
          <w:lang w:val="en-GB"/>
        </w:rPr>
        <w:t xml:space="preserve"> Experimentation laboratories with data</w:t>
      </w:r>
      <w:bookmarkEnd w:id="24"/>
    </w:p>
    <w:p w14:paraId="7F3089BF" w14:textId="3B43FFC9" w:rsidR="00857993" w:rsidRPr="00857993" w:rsidRDefault="00857993" w:rsidP="00731FC7">
      <w:pPr>
        <w:spacing w:after="0"/>
        <w:rPr>
          <w:lang w:val="en-GB"/>
        </w:rPr>
      </w:pPr>
      <w:r w:rsidRPr="00857993">
        <w:rPr>
          <w:lang w:val="en-GB"/>
        </w:rPr>
        <w:t xml:space="preserve">Those known as Data Labs are </w:t>
      </w:r>
      <w:r w:rsidRPr="00857993">
        <w:rPr>
          <w:b/>
          <w:lang w:val="en-GB"/>
        </w:rPr>
        <w:t>experimental environments that generally seek to provide</w:t>
      </w:r>
      <w:r>
        <w:rPr>
          <w:b/>
          <w:lang w:val="en-GB"/>
        </w:rPr>
        <w:t xml:space="preserve"> practical and</w:t>
      </w:r>
      <w:r w:rsidRPr="00857993">
        <w:rPr>
          <w:b/>
          <w:lang w:val="en-GB"/>
        </w:rPr>
        <w:t xml:space="preserve"> innovative solutions</w:t>
      </w:r>
      <w:r>
        <w:rPr>
          <w:lang w:val="en-GB"/>
        </w:rPr>
        <w:t xml:space="preserve"> </w:t>
      </w:r>
      <w:r w:rsidRPr="00857993">
        <w:rPr>
          <w:lang w:val="en-GB"/>
        </w:rPr>
        <w:t xml:space="preserve">to any pressing social problem through in-depth analysis of the data and with an approximation that goes from the problem to the solution (bottom-up). In these laboratories, the data are the protagonists when establishing tailored approaches based on the analysis of the realities closest to the </w:t>
      </w:r>
      <w:r w:rsidRPr="00857993">
        <w:rPr>
          <w:lang w:val="en-GB"/>
        </w:rPr>
        <w:lastRenderedPageBreak/>
        <w:t>problem in question. To do this, they usually work closely with the different communities affected by these problems, establishing long-term connections and collecting newly created data to fill in the existing gaps.</w:t>
      </w:r>
    </w:p>
    <w:p w14:paraId="29E8E94D" w14:textId="63486656" w:rsidR="00857993" w:rsidRPr="00857993" w:rsidRDefault="00857993" w:rsidP="00857993">
      <w:pPr>
        <w:spacing w:after="0"/>
        <w:rPr>
          <w:lang w:val="en-GB"/>
        </w:rPr>
      </w:pPr>
      <w:r w:rsidRPr="00857993">
        <w:rPr>
          <w:lang w:val="en-GB"/>
        </w:rPr>
        <w:t xml:space="preserve">These types of experimental data environments are also quite popular in the academic environment, with examples such as the </w:t>
      </w:r>
      <w:hyperlink r:id="rId76" w:history="1">
        <w:r w:rsidRPr="000E7988">
          <w:rPr>
            <w:color w:val="7030A0"/>
            <w:u w:val="single"/>
            <w:lang w:val="en-GB"/>
          </w:rPr>
          <w:t>MIT Living Lab</w:t>
        </w:r>
      </w:hyperlink>
      <w:r w:rsidRPr="00857993">
        <w:rPr>
          <w:lang w:val="en-GB"/>
        </w:rPr>
        <w:t xml:space="preserve"> that works in areas as diverse as health and well-being, the analysis of social patterns and human behaviour or transport and mobility; the </w:t>
      </w:r>
      <w:hyperlink r:id="rId77">
        <w:r w:rsidRPr="000E7988">
          <w:rPr>
            <w:color w:val="7030A0"/>
            <w:u w:val="single"/>
            <w:lang w:val="en-GB"/>
          </w:rPr>
          <w:t>Standford Data Lab</w:t>
        </w:r>
      </w:hyperlink>
      <w:r w:rsidRPr="00857993">
        <w:rPr>
          <w:lang w:val="en-GB"/>
        </w:rPr>
        <w:t xml:space="preserve"> in areas such as government, health or poverty; or also the </w:t>
      </w:r>
      <w:hyperlink r:id="rId78">
        <w:r w:rsidRPr="000E7988">
          <w:rPr>
            <w:color w:val="7030A0"/>
            <w:u w:val="single"/>
            <w:lang w:val="en-GB"/>
          </w:rPr>
          <w:t>Pew Research Center</w:t>
        </w:r>
      </w:hyperlink>
      <w:r w:rsidRPr="00857993">
        <w:rPr>
          <w:lang w:val="en-GB"/>
        </w:rPr>
        <w:t xml:space="preserve">, which works on </w:t>
      </w:r>
      <w:hyperlink r:id="rId79" w:history="1">
        <w:r w:rsidRPr="000E7988">
          <w:rPr>
            <w:color w:val="7030A0"/>
            <w:u w:val="single"/>
            <w:lang w:val="en-GB"/>
          </w:rPr>
          <w:t>projects related to social sciences in general</w:t>
        </w:r>
      </w:hyperlink>
      <w:r w:rsidRPr="00857993">
        <w:rPr>
          <w:lang w:val="en-GB"/>
        </w:rPr>
        <w:t xml:space="preserve">. Another example is the </w:t>
      </w:r>
      <w:hyperlink r:id="rId80">
        <w:r w:rsidRPr="000E7988">
          <w:rPr>
            <w:color w:val="7030A0"/>
            <w:u w:val="single"/>
            <w:lang w:val="en-GB"/>
          </w:rPr>
          <w:t>Global Change Data Lab</w:t>
        </w:r>
      </w:hyperlink>
      <w:r w:rsidRPr="000E7988">
        <w:rPr>
          <w:color w:val="0000FF"/>
          <w:lang w:val="en-GB"/>
        </w:rPr>
        <w:t xml:space="preserve"> </w:t>
      </w:r>
      <w:r w:rsidRPr="00857993">
        <w:rPr>
          <w:lang w:val="en-GB"/>
        </w:rPr>
        <w:t xml:space="preserve">and its reference project </w:t>
      </w:r>
      <w:hyperlink r:id="rId81">
        <w:r w:rsidRPr="000E7988">
          <w:rPr>
            <w:color w:val="7030A0"/>
            <w:u w:val="single"/>
            <w:lang w:val="en-GB"/>
          </w:rPr>
          <w:t>Our World in Data</w:t>
        </w:r>
      </w:hyperlink>
      <w:r w:rsidRPr="00857993">
        <w:rPr>
          <w:lang w:val="en-GB"/>
        </w:rPr>
        <w:t>, which is closely related to the University of Oxford and focuses on the analysis of the changes produced by an increasingly global world.</w:t>
      </w:r>
    </w:p>
    <w:p w14:paraId="76E67B71" w14:textId="7DD9D9D7" w:rsidR="00857993" w:rsidRPr="00857993" w:rsidRDefault="00857993" w:rsidP="00857993">
      <w:pPr>
        <w:spacing w:after="0"/>
        <w:rPr>
          <w:lang w:val="en-GB"/>
        </w:rPr>
      </w:pPr>
      <w:r w:rsidRPr="00857993">
        <w:rPr>
          <w:lang w:val="en-GB"/>
        </w:rPr>
        <w:t xml:space="preserve">However, there are also other examples outside the purely academic field, such as the </w:t>
      </w:r>
      <w:hyperlink r:id="rId82" w:history="1">
        <w:r w:rsidRPr="00433274">
          <w:rPr>
            <w:color w:val="7030A0"/>
            <w:u w:val="single"/>
            <w:lang w:val="en-GB"/>
          </w:rPr>
          <w:t>Data Lab promoted by the Innovation Centres Program of the Scottish Government</w:t>
        </w:r>
      </w:hyperlink>
      <w:r w:rsidRPr="00857993">
        <w:rPr>
          <w:lang w:val="en-GB"/>
        </w:rPr>
        <w:t xml:space="preserve"> or the </w:t>
      </w:r>
      <w:hyperlink r:id="rId83">
        <w:r w:rsidRPr="000E7988">
          <w:rPr>
            <w:color w:val="7030A0"/>
            <w:u w:val="single"/>
            <w:lang w:val="en-GB"/>
          </w:rPr>
          <w:t>SDG Data Lab</w:t>
        </w:r>
      </w:hyperlink>
      <w:r w:rsidRPr="000E7988">
        <w:rPr>
          <w:color w:val="0000FF"/>
          <w:lang w:val="en-GB"/>
        </w:rPr>
        <w:t xml:space="preserve"> </w:t>
      </w:r>
      <w:r w:rsidRPr="00857993">
        <w:rPr>
          <w:lang w:val="en-GB"/>
        </w:rPr>
        <w:t xml:space="preserve">promoted by the </w:t>
      </w:r>
      <w:r w:rsidRPr="00857993">
        <w:rPr>
          <w:i/>
          <w:lang w:val="en-GB"/>
        </w:rPr>
        <w:t>iTech Mission</w:t>
      </w:r>
      <w:r w:rsidRPr="00857993">
        <w:rPr>
          <w:lang w:val="en-GB"/>
        </w:rPr>
        <w:t xml:space="preserve"> for monitoring progress in global </w:t>
      </w:r>
      <w:r>
        <w:rPr>
          <w:lang w:val="en-GB"/>
        </w:rPr>
        <w:t>S</w:t>
      </w:r>
      <w:r w:rsidRPr="00857993">
        <w:rPr>
          <w:lang w:val="en-GB"/>
        </w:rPr>
        <w:t xml:space="preserve">ustainable </w:t>
      </w:r>
      <w:r>
        <w:rPr>
          <w:lang w:val="en-GB"/>
        </w:rPr>
        <w:t>D</w:t>
      </w:r>
      <w:r w:rsidRPr="00857993">
        <w:rPr>
          <w:lang w:val="en-GB"/>
        </w:rPr>
        <w:t xml:space="preserve">evelopment </w:t>
      </w:r>
      <w:r>
        <w:rPr>
          <w:lang w:val="en-GB"/>
        </w:rPr>
        <w:t>G</w:t>
      </w:r>
      <w:r w:rsidRPr="00857993">
        <w:rPr>
          <w:lang w:val="en-GB"/>
        </w:rPr>
        <w:t>oals.</w:t>
      </w:r>
    </w:p>
    <w:p w14:paraId="0C13C3A9" w14:textId="6D24A9ED" w:rsidR="00526D83" w:rsidRPr="00857993" w:rsidRDefault="00526D83" w:rsidP="00B7528C">
      <w:pPr>
        <w:pStyle w:val="Ttulo3"/>
        <w:numPr>
          <w:ilvl w:val="0"/>
          <w:numId w:val="0"/>
        </w:numPr>
        <w:spacing w:before="240" w:after="0" w:line="360" w:lineRule="auto"/>
        <w:ind w:left="720" w:hanging="720"/>
        <w:rPr>
          <w:lang w:val="en-GB"/>
        </w:rPr>
      </w:pPr>
      <w:bookmarkStart w:id="25" w:name="_Toc30777400"/>
      <w:bookmarkStart w:id="26" w:name="_Toc34134696"/>
      <w:r w:rsidRPr="00857993">
        <w:rPr>
          <w:lang w:val="en-GB"/>
        </w:rPr>
        <w:t>1.2.4 –</w:t>
      </w:r>
      <w:bookmarkEnd w:id="25"/>
      <w:r w:rsidR="00857993" w:rsidRPr="00857993">
        <w:rPr>
          <w:lang w:val="en-GB"/>
        </w:rPr>
        <w:t xml:space="preserve"> Collaborative Data Systems</w:t>
      </w:r>
      <w:bookmarkEnd w:id="26"/>
    </w:p>
    <w:p w14:paraId="1C0E33DF" w14:textId="3E0B4817" w:rsidR="00857993" w:rsidRPr="00857993" w:rsidRDefault="00857993" w:rsidP="00731FC7">
      <w:pPr>
        <w:spacing w:after="0"/>
        <w:rPr>
          <w:lang w:val="en-GB"/>
        </w:rPr>
      </w:pPr>
      <w:r w:rsidRPr="00857993">
        <w:rPr>
          <w:lang w:val="en-GB"/>
        </w:rPr>
        <w:t xml:space="preserve">These centralized collaborative systems or Data Hubs are designed to share data easily regardless of their origin, and thus be able to </w:t>
      </w:r>
      <w:r w:rsidRPr="004051CD">
        <w:rPr>
          <w:b/>
          <w:lang w:val="en-GB"/>
        </w:rPr>
        <w:t>work collaboratively smoothly</w:t>
      </w:r>
      <w:r w:rsidRPr="00857993">
        <w:rPr>
          <w:lang w:val="en-GB"/>
        </w:rPr>
        <w:t xml:space="preserve">. Sometimes these hubs will also offer us a series of </w:t>
      </w:r>
      <w:r w:rsidRPr="004051CD">
        <w:rPr>
          <w:b/>
          <w:lang w:val="en-GB"/>
        </w:rPr>
        <w:t>basic tools</w:t>
      </w:r>
      <w:r w:rsidRPr="00857993">
        <w:rPr>
          <w:lang w:val="en-GB"/>
        </w:rPr>
        <w:t xml:space="preserve"> to further facilitate our work with the data. However, we must not confuse the technical product (the platform where the data and / or accompanying tools are housed) with the data ecosystem and the community that is created around t</w:t>
      </w:r>
      <w:r w:rsidR="004051CD">
        <w:rPr>
          <w:lang w:val="en-GB"/>
        </w:rPr>
        <w:t>hem</w:t>
      </w:r>
      <w:r w:rsidRPr="00857993">
        <w:rPr>
          <w:lang w:val="en-GB"/>
        </w:rPr>
        <w:t xml:space="preserve"> and constitutes the true value of these </w:t>
      </w:r>
      <w:r w:rsidRPr="004051CD">
        <w:rPr>
          <w:i/>
          <w:lang w:val="en-GB"/>
        </w:rPr>
        <w:t>Hubs</w:t>
      </w:r>
      <w:r w:rsidRPr="00857993">
        <w:rPr>
          <w:lang w:val="en-GB"/>
        </w:rPr>
        <w:t>.</w:t>
      </w:r>
    </w:p>
    <w:p w14:paraId="49DA47D1" w14:textId="51D972FF" w:rsidR="004051CD" w:rsidRDefault="004051CD" w:rsidP="00731FC7">
      <w:pPr>
        <w:spacing w:after="0"/>
        <w:rPr>
          <w:lang w:val="en-GB"/>
        </w:rPr>
      </w:pPr>
      <w:r w:rsidRPr="004051CD">
        <w:rPr>
          <w:lang w:val="en-GB"/>
        </w:rPr>
        <w:t>Thus we can find hundreds of Data Hubs with large amounts of data available for use, from some that cover general knowledge such as</w:t>
      </w:r>
      <w:r w:rsidRPr="00CB3FC4">
        <w:rPr>
          <w:color w:val="7030A0"/>
          <w:lang w:val="en-GB"/>
        </w:rPr>
        <w:t xml:space="preserve"> </w:t>
      </w:r>
      <w:hyperlink r:id="rId84">
        <w:r w:rsidRPr="00CB3FC4">
          <w:rPr>
            <w:color w:val="7030A0"/>
            <w:u w:val="single"/>
            <w:lang w:val="en-GB"/>
          </w:rPr>
          <w:t>DBPedia</w:t>
        </w:r>
      </w:hyperlink>
      <w:r w:rsidRPr="004051CD">
        <w:rPr>
          <w:lang w:val="en-GB"/>
        </w:rPr>
        <w:t xml:space="preserve"> or </w:t>
      </w:r>
      <w:hyperlink r:id="rId85">
        <w:r w:rsidRPr="00CB3FC4">
          <w:rPr>
            <w:color w:val="7030A0"/>
            <w:u w:val="single"/>
            <w:lang w:val="en-GB"/>
          </w:rPr>
          <w:t>Lexvo</w:t>
        </w:r>
      </w:hyperlink>
      <w:r w:rsidRPr="004051CD">
        <w:rPr>
          <w:lang w:val="en-GB"/>
        </w:rPr>
        <w:t>, to more specific ones focused on specific areas of knowledge, such as:</w:t>
      </w:r>
    </w:p>
    <w:p w14:paraId="1E1D75E8" w14:textId="77777777" w:rsidR="00CB3FC4" w:rsidRDefault="00CB3FC4" w:rsidP="00731FC7">
      <w:pPr>
        <w:spacing w:after="0"/>
        <w:rPr>
          <w:lang w:val="en-GB"/>
        </w:rPr>
      </w:pPr>
    </w:p>
    <w:p w14:paraId="04DA9161" w14:textId="215E603E" w:rsidR="00526D83" w:rsidRPr="004051CD" w:rsidRDefault="00034FA7" w:rsidP="00034FA7">
      <w:pPr>
        <w:pBdr>
          <w:top w:val="nil"/>
          <w:left w:val="nil"/>
          <w:bottom w:val="nil"/>
          <w:right w:val="nil"/>
          <w:between w:val="nil"/>
        </w:pBdr>
        <w:spacing w:after="0"/>
        <w:jc w:val="left"/>
        <w:rPr>
          <w:lang w:val="en-GB"/>
        </w:rPr>
      </w:pPr>
      <w:r>
        <w:rPr>
          <w:noProof/>
          <w:color w:val="000000"/>
        </w:rPr>
        <w:lastRenderedPageBreak/>
        <w:drawing>
          <wp:anchor distT="0" distB="0" distL="114300" distR="114300" simplePos="0" relativeHeight="251665408" behindDoc="0" locked="0" layoutInCell="1" allowOverlap="1" wp14:anchorId="74931233" wp14:editId="1A68ABA4">
            <wp:simplePos x="0" y="0"/>
            <wp:positionH relativeFrom="column">
              <wp:posOffset>2540</wp:posOffset>
            </wp:positionH>
            <wp:positionV relativeFrom="paragraph">
              <wp:posOffset>0</wp:posOffset>
            </wp:positionV>
            <wp:extent cx="265430" cy="265430"/>
            <wp:effectExtent l="0" t="0" r="1270" b="1270"/>
            <wp:wrapSquare wrapText="bothSides"/>
            <wp:docPr id="18" name="Gráfico 18" descr="Europa y África en el globo terráqu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mediafile_XWliDw.svg"/>
                    <pic:cNvPicPr/>
                  </pic:nvPicPr>
                  <pic:blipFill>
                    <a:blip r:embed="rId86" cstate="print">
                      <a:extLst>
                        <a:ext uri="{28A0092B-C50C-407E-A947-70E740481C1C}">
                          <a14:useLocalDpi xmlns:a14="http://schemas.microsoft.com/office/drawing/2010/main" val="0"/>
                        </a:ext>
                        <a:ext uri="{96DAC541-7B7A-43D3-8B79-37D633B846F1}">
                          <asvg:svgBlip xmlns:asvg="http://schemas.microsoft.com/office/drawing/2016/SVG/main" r:embed="rId87"/>
                        </a:ext>
                      </a:extLst>
                    </a:blip>
                    <a:stretch>
                      <a:fillRect/>
                    </a:stretch>
                  </pic:blipFill>
                  <pic:spPr>
                    <a:xfrm>
                      <a:off x="0" y="0"/>
                      <a:ext cx="265430" cy="265430"/>
                    </a:xfrm>
                    <a:prstGeom prst="rect">
                      <a:avLst/>
                    </a:prstGeom>
                  </pic:spPr>
                </pic:pic>
              </a:graphicData>
            </a:graphic>
            <wp14:sizeRelH relativeFrom="page">
              <wp14:pctWidth>0</wp14:pctWidth>
            </wp14:sizeRelH>
            <wp14:sizeRelV relativeFrom="page">
              <wp14:pctHeight>0</wp14:pctHeight>
            </wp14:sizeRelV>
          </wp:anchor>
        </w:drawing>
      </w:r>
      <w:r w:rsidR="004051CD" w:rsidRPr="004051CD">
        <w:rPr>
          <w:lang w:val="en-GB"/>
        </w:rPr>
        <w:t xml:space="preserve"> </w:t>
      </w:r>
      <w:r w:rsidR="004051CD" w:rsidRPr="004051CD">
        <w:rPr>
          <w:color w:val="000000"/>
          <w:lang w:val="en-GB"/>
        </w:rPr>
        <w:t>Geography</w:t>
      </w:r>
      <w:r w:rsidR="00526D83" w:rsidRPr="004051CD">
        <w:rPr>
          <w:color w:val="000000"/>
          <w:lang w:val="en-GB"/>
        </w:rPr>
        <w:t xml:space="preserve">: </w:t>
      </w:r>
      <w:hyperlink r:id="rId88">
        <w:r w:rsidR="00526D83" w:rsidRPr="00CB3FC4">
          <w:rPr>
            <w:color w:val="7030A0"/>
            <w:u w:val="single"/>
            <w:lang w:val="en-GB"/>
          </w:rPr>
          <w:t>Geonames</w:t>
        </w:r>
      </w:hyperlink>
      <w:r w:rsidR="00526D83" w:rsidRPr="004051CD">
        <w:rPr>
          <w:color w:val="000000"/>
          <w:lang w:val="en-GB"/>
        </w:rPr>
        <w:t xml:space="preserve">, </w:t>
      </w:r>
      <w:hyperlink r:id="rId89">
        <w:r w:rsidR="00526D83" w:rsidRPr="00CB3FC4">
          <w:rPr>
            <w:color w:val="7030A0"/>
            <w:u w:val="single"/>
            <w:lang w:val="en-GB"/>
          </w:rPr>
          <w:t>Ocean Drilling</w:t>
        </w:r>
      </w:hyperlink>
      <w:r w:rsidR="00526D83" w:rsidRPr="004051CD">
        <w:rPr>
          <w:color w:val="000000"/>
          <w:lang w:val="en-GB"/>
        </w:rPr>
        <w:t>, o</w:t>
      </w:r>
      <w:r w:rsidR="004051CD" w:rsidRPr="004051CD">
        <w:rPr>
          <w:color w:val="000000"/>
          <w:lang w:val="en-GB"/>
        </w:rPr>
        <w:t>r</w:t>
      </w:r>
      <w:r w:rsidR="00526D83" w:rsidRPr="004051CD">
        <w:rPr>
          <w:color w:val="000000"/>
          <w:lang w:val="en-GB"/>
        </w:rPr>
        <w:t xml:space="preserve"> </w:t>
      </w:r>
      <w:hyperlink r:id="rId90">
        <w:r w:rsidR="00526D83" w:rsidRPr="00CB3FC4">
          <w:rPr>
            <w:color w:val="7030A0"/>
            <w:u w:val="single"/>
            <w:lang w:val="en-GB"/>
          </w:rPr>
          <w:t>Pleiades</w:t>
        </w:r>
      </w:hyperlink>
      <w:r w:rsidR="00526D83" w:rsidRPr="004051CD">
        <w:rPr>
          <w:color w:val="000000"/>
          <w:lang w:val="en-GB"/>
        </w:rPr>
        <w:t>.</w:t>
      </w:r>
    </w:p>
    <w:p w14:paraId="5007DF26" w14:textId="56D3DD4C" w:rsidR="00526D83" w:rsidRPr="004051CD" w:rsidRDefault="00034FA7" w:rsidP="00034FA7">
      <w:pPr>
        <w:pBdr>
          <w:top w:val="nil"/>
          <w:left w:val="nil"/>
          <w:bottom w:val="nil"/>
          <w:right w:val="nil"/>
          <w:between w:val="nil"/>
        </w:pBdr>
        <w:spacing w:after="0"/>
        <w:jc w:val="left"/>
        <w:rPr>
          <w:lang w:val="en-GB"/>
        </w:rPr>
      </w:pPr>
      <w:r>
        <w:rPr>
          <w:noProof/>
        </w:rPr>
        <w:drawing>
          <wp:anchor distT="0" distB="0" distL="114300" distR="114300" simplePos="0" relativeHeight="251666432" behindDoc="0" locked="0" layoutInCell="1" allowOverlap="1" wp14:anchorId="48187230" wp14:editId="597A9348">
            <wp:simplePos x="0" y="0"/>
            <wp:positionH relativeFrom="margin">
              <wp:posOffset>0</wp:posOffset>
            </wp:positionH>
            <wp:positionV relativeFrom="paragraph">
              <wp:posOffset>102870</wp:posOffset>
            </wp:positionV>
            <wp:extent cx="276225" cy="276225"/>
            <wp:effectExtent l="0" t="0" r="0" b="9525"/>
            <wp:wrapSquare wrapText="bothSides"/>
            <wp:docPr id="19" name="Gráfico 19" descr="AD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mediafile_dPI3pC.svg"/>
                    <pic:cNvPicPr/>
                  </pic:nvPicPr>
                  <pic:blipFill>
                    <a:blip r:embed="rId91" cstate="print">
                      <a:extLst>
                        <a:ext uri="{28A0092B-C50C-407E-A947-70E740481C1C}">
                          <a14:useLocalDpi xmlns:a14="http://schemas.microsoft.com/office/drawing/2010/main" val="0"/>
                        </a:ext>
                        <a:ext uri="{96DAC541-7B7A-43D3-8B79-37D633B846F1}">
                          <asvg:svgBlip xmlns:asvg="http://schemas.microsoft.com/office/drawing/2016/SVG/main" r:embed="rId92"/>
                        </a:ext>
                      </a:extLst>
                    </a:blip>
                    <a:stretch>
                      <a:fillRect/>
                    </a:stretch>
                  </pic:blipFill>
                  <pic:spPr>
                    <a:xfrm>
                      <a:off x="0" y="0"/>
                      <a:ext cx="276225" cy="276225"/>
                    </a:xfrm>
                    <a:prstGeom prst="rect">
                      <a:avLst/>
                    </a:prstGeom>
                  </pic:spPr>
                </pic:pic>
              </a:graphicData>
            </a:graphic>
            <wp14:sizeRelH relativeFrom="page">
              <wp14:pctWidth>0</wp14:pctWidth>
            </wp14:sizeRelH>
            <wp14:sizeRelV relativeFrom="page">
              <wp14:pctHeight>0</wp14:pctHeight>
            </wp14:sizeRelV>
          </wp:anchor>
        </w:drawing>
      </w:r>
      <w:r w:rsidR="004051CD" w:rsidRPr="004051CD">
        <w:rPr>
          <w:lang w:val="en-GB"/>
        </w:rPr>
        <w:t xml:space="preserve"> </w:t>
      </w:r>
      <w:r w:rsidR="004051CD" w:rsidRPr="004051CD">
        <w:rPr>
          <w:color w:val="000000"/>
          <w:lang w:val="en-GB"/>
        </w:rPr>
        <w:t xml:space="preserve">Biology: </w:t>
      </w:r>
      <w:hyperlink r:id="rId93">
        <w:r w:rsidR="00526D83" w:rsidRPr="00CB3FC4">
          <w:rPr>
            <w:color w:val="7030A0"/>
            <w:u w:val="single"/>
            <w:lang w:val="en-GB"/>
          </w:rPr>
          <w:t>Drugbank</w:t>
        </w:r>
      </w:hyperlink>
      <w:r w:rsidR="00526D83" w:rsidRPr="004051CD">
        <w:rPr>
          <w:color w:val="000000"/>
          <w:lang w:val="en-GB"/>
        </w:rPr>
        <w:t xml:space="preserve">, </w:t>
      </w:r>
      <w:hyperlink r:id="rId94">
        <w:r w:rsidR="00526D83" w:rsidRPr="00CB3FC4">
          <w:rPr>
            <w:color w:val="7030A0"/>
            <w:u w:val="single"/>
            <w:lang w:val="en-GB"/>
          </w:rPr>
          <w:t>Bioportal</w:t>
        </w:r>
      </w:hyperlink>
      <w:r w:rsidR="00526D83" w:rsidRPr="004051CD">
        <w:rPr>
          <w:color w:val="000000"/>
          <w:lang w:val="en-GB"/>
        </w:rPr>
        <w:t xml:space="preserve"> o</w:t>
      </w:r>
      <w:r w:rsidR="004051CD" w:rsidRPr="004051CD">
        <w:rPr>
          <w:color w:val="000000"/>
          <w:lang w:val="en-GB"/>
        </w:rPr>
        <w:t>r</w:t>
      </w:r>
      <w:r w:rsidR="00526D83" w:rsidRPr="004051CD">
        <w:rPr>
          <w:color w:val="000000"/>
          <w:lang w:val="en-GB"/>
        </w:rPr>
        <w:t xml:space="preserve"> </w:t>
      </w:r>
      <w:hyperlink r:id="rId95">
        <w:r w:rsidR="00526D83" w:rsidRPr="00CB3FC4">
          <w:rPr>
            <w:color w:val="7030A0"/>
            <w:u w:val="single"/>
            <w:lang w:val="en-GB"/>
          </w:rPr>
          <w:t>Eunis</w:t>
        </w:r>
      </w:hyperlink>
      <w:r w:rsidR="00526D83" w:rsidRPr="004051CD">
        <w:rPr>
          <w:color w:val="000000"/>
          <w:lang w:val="en-GB"/>
        </w:rPr>
        <w:t>.</w:t>
      </w:r>
    </w:p>
    <w:p w14:paraId="59089563" w14:textId="760A6CD8" w:rsidR="00526D83" w:rsidRPr="004051CD" w:rsidRDefault="00034FA7" w:rsidP="00034FA7">
      <w:pPr>
        <w:pBdr>
          <w:top w:val="nil"/>
          <w:left w:val="nil"/>
          <w:bottom w:val="nil"/>
          <w:right w:val="nil"/>
          <w:between w:val="nil"/>
        </w:pBdr>
        <w:spacing w:after="0"/>
        <w:jc w:val="left"/>
        <w:rPr>
          <w:lang w:val="en-GB"/>
        </w:rPr>
      </w:pPr>
      <w:r>
        <w:rPr>
          <w:noProof/>
          <w:color w:val="000000"/>
        </w:rPr>
        <w:drawing>
          <wp:anchor distT="0" distB="0" distL="114300" distR="114300" simplePos="0" relativeHeight="251667456" behindDoc="0" locked="0" layoutInCell="1" allowOverlap="1" wp14:anchorId="02908EAA" wp14:editId="7D916CCC">
            <wp:simplePos x="0" y="0"/>
            <wp:positionH relativeFrom="column">
              <wp:posOffset>56515</wp:posOffset>
            </wp:positionH>
            <wp:positionV relativeFrom="paragraph">
              <wp:posOffset>99060</wp:posOffset>
            </wp:positionV>
            <wp:extent cx="276225" cy="276225"/>
            <wp:effectExtent l="0" t="0" r="9525" b="9525"/>
            <wp:wrapSquare wrapText="bothSides"/>
            <wp:docPr id="21" name="Gráfico 21" descr="Libros en una estanterí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mediafile_ozO73u.svg"/>
                    <pic:cNvPicPr/>
                  </pic:nvPicPr>
                  <pic:blipFill>
                    <a:blip r:embed="rId96" cstate="print">
                      <a:extLst>
                        <a:ext uri="{28A0092B-C50C-407E-A947-70E740481C1C}">
                          <a14:useLocalDpi xmlns:a14="http://schemas.microsoft.com/office/drawing/2010/main" val="0"/>
                        </a:ext>
                        <a:ext uri="{96DAC541-7B7A-43D3-8B79-37D633B846F1}">
                          <asvg:svgBlip xmlns:asvg="http://schemas.microsoft.com/office/drawing/2016/SVG/main" r:embed="rId97"/>
                        </a:ext>
                      </a:extLst>
                    </a:blip>
                    <a:stretch>
                      <a:fillRect/>
                    </a:stretch>
                  </pic:blipFill>
                  <pic:spPr>
                    <a:xfrm>
                      <a:off x="0" y="0"/>
                      <a:ext cx="276225" cy="276225"/>
                    </a:xfrm>
                    <a:prstGeom prst="rect">
                      <a:avLst/>
                    </a:prstGeom>
                  </pic:spPr>
                </pic:pic>
              </a:graphicData>
            </a:graphic>
            <wp14:sizeRelH relativeFrom="page">
              <wp14:pctWidth>0</wp14:pctWidth>
            </wp14:sizeRelH>
            <wp14:sizeRelV relativeFrom="page">
              <wp14:pctHeight>0</wp14:pctHeight>
            </wp14:sizeRelV>
          </wp:anchor>
        </w:drawing>
      </w:r>
      <w:r w:rsidR="004051CD" w:rsidRPr="004051CD">
        <w:rPr>
          <w:color w:val="000000"/>
          <w:lang w:val="en-GB"/>
        </w:rPr>
        <w:t xml:space="preserve">Linguistics: </w:t>
      </w:r>
      <w:hyperlink r:id="rId98">
        <w:r w:rsidR="00526D83" w:rsidRPr="00CB3FC4">
          <w:rPr>
            <w:color w:val="7030A0"/>
            <w:u w:val="single"/>
            <w:lang w:val="en-GB"/>
          </w:rPr>
          <w:t>PanLex</w:t>
        </w:r>
      </w:hyperlink>
      <w:r w:rsidR="00526D83" w:rsidRPr="004051CD">
        <w:rPr>
          <w:color w:val="000000"/>
          <w:lang w:val="en-GB"/>
        </w:rPr>
        <w:t xml:space="preserve">, </w:t>
      </w:r>
      <w:hyperlink r:id="rId99">
        <w:r w:rsidR="00526D83" w:rsidRPr="00CB3FC4">
          <w:rPr>
            <w:color w:val="7030A0"/>
            <w:u w:val="single"/>
            <w:lang w:val="en-GB"/>
          </w:rPr>
          <w:t>Phoible</w:t>
        </w:r>
      </w:hyperlink>
      <w:r w:rsidR="00526D83" w:rsidRPr="004051CD">
        <w:rPr>
          <w:color w:val="000000"/>
          <w:lang w:val="en-GB"/>
        </w:rPr>
        <w:t xml:space="preserve"> o</w:t>
      </w:r>
      <w:r w:rsidR="004051CD" w:rsidRPr="004051CD">
        <w:rPr>
          <w:color w:val="000000"/>
          <w:lang w:val="en-GB"/>
        </w:rPr>
        <w:t>r</w:t>
      </w:r>
      <w:r w:rsidR="00526D83" w:rsidRPr="004051CD">
        <w:rPr>
          <w:color w:val="000000"/>
          <w:lang w:val="en-GB"/>
        </w:rPr>
        <w:t xml:space="preserve"> </w:t>
      </w:r>
      <w:hyperlink r:id="rId100">
        <w:r w:rsidR="00526D83" w:rsidRPr="00CB3FC4">
          <w:rPr>
            <w:color w:val="7030A0"/>
            <w:u w:val="single"/>
            <w:lang w:val="en-GB"/>
          </w:rPr>
          <w:t>BabelNet</w:t>
        </w:r>
      </w:hyperlink>
      <w:r w:rsidR="00526D83" w:rsidRPr="004051CD">
        <w:rPr>
          <w:color w:val="000000"/>
          <w:lang w:val="en-GB"/>
        </w:rPr>
        <w:t>.</w:t>
      </w:r>
    </w:p>
    <w:p w14:paraId="3957D5FA" w14:textId="4F07B729" w:rsidR="00526D83" w:rsidRPr="00535EC5" w:rsidRDefault="002C216F" w:rsidP="002C216F">
      <w:pPr>
        <w:pBdr>
          <w:top w:val="nil"/>
          <w:left w:val="nil"/>
          <w:bottom w:val="nil"/>
          <w:right w:val="nil"/>
          <w:between w:val="nil"/>
        </w:pBdr>
        <w:spacing w:after="0"/>
        <w:ind w:left="720"/>
        <w:jc w:val="left"/>
        <w:rPr>
          <w:color w:val="000000"/>
          <w:lang w:val="en-US"/>
        </w:rPr>
      </w:pPr>
      <w:r>
        <w:rPr>
          <w:noProof/>
          <w:color w:val="000000"/>
          <w:lang w:val="en-US"/>
        </w:rPr>
        <w:drawing>
          <wp:anchor distT="0" distB="0" distL="114300" distR="114300" simplePos="0" relativeHeight="251668480" behindDoc="0" locked="0" layoutInCell="1" allowOverlap="1" wp14:anchorId="076D1D57" wp14:editId="2E414087">
            <wp:simplePos x="0" y="0"/>
            <wp:positionH relativeFrom="column">
              <wp:posOffset>55245</wp:posOffset>
            </wp:positionH>
            <wp:positionV relativeFrom="paragraph">
              <wp:posOffset>133985</wp:posOffset>
            </wp:positionV>
            <wp:extent cx="276225" cy="276225"/>
            <wp:effectExtent l="0" t="0" r="0" b="3175"/>
            <wp:wrapSquare wrapText="bothSides"/>
            <wp:docPr id="22" name="Gráfico 22" descr="Presentación con elemento multi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mediafile_BwbwHV.svg"/>
                    <pic:cNvPicPr/>
                  </pic:nvPicPr>
                  <pic:blipFill>
                    <a:blip r:embed="rId101" cstate="print">
                      <a:extLst>
                        <a:ext uri="{28A0092B-C50C-407E-A947-70E740481C1C}">
                          <a14:useLocalDpi xmlns:a14="http://schemas.microsoft.com/office/drawing/2010/main" val="0"/>
                        </a:ext>
                        <a:ext uri="{96DAC541-7B7A-43D3-8B79-37D633B846F1}">
                          <asvg:svgBlip xmlns:asvg="http://schemas.microsoft.com/office/drawing/2016/SVG/main" r:embed="rId102"/>
                        </a:ext>
                      </a:extLst>
                    </a:blip>
                    <a:stretch>
                      <a:fillRect/>
                    </a:stretch>
                  </pic:blipFill>
                  <pic:spPr>
                    <a:xfrm>
                      <a:off x="0" y="0"/>
                      <a:ext cx="276225" cy="276225"/>
                    </a:xfrm>
                    <a:prstGeom prst="rect">
                      <a:avLst/>
                    </a:prstGeom>
                  </pic:spPr>
                </pic:pic>
              </a:graphicData>
            </a:graphic>
            <wp14:sizeRelH relativeFrom="page">
              <wp14:pctWidth>0</wp14:pctWidth>
            </wp14:sizeRelH>
            <wp14:sizeRelV relativeFrom="page">
              <wp14:pctHeight>0</wp14:pctHeight>
            </wp14:sizeRelV>
          </wp:anchor>
        </w:drawing>
      </w:r>
      <w:r w:rsidR="004051CD" w:rsidRPr="004051CD">
        <w:rPr>
          <w:color w:val="000000"/>
          <w:lang w:val="en-US"/>
        </w:rPr>
        <w:t>Multimedia:</w:t>
      </w:r>
      <w:r w:rsidR="004051CD">
        <w:rPr>
          <w:color w:val="000000"/>
          <w:lang w:val="en-US"/>
        </w:rPr>
        <w:t xml:space="preserve"> </w:t>
      </w:r>
      <w:hyperlink r:id="rId103">
        <w:r w:rsidR="00526D83" w:rsidRPr="00CB3FC4">
          <w:rPr>
            <w:color w:val="7030A0"/>
            <w:u w:val="single"/>
            <w:lang w:val="en-GB"/>
          </w:rPr>
          <w:t>DBTune</w:t>
        </w:r>
      </w:hyperlink>
      <w:r w:rsidR="00526D83" w:rsidRPr="00535EC5">
        <w:rPr>
          <w:color w:val="000000"/>
          <w:lang w:val="en-US"/>
        </w:rPr>
        <w:t xml:space="preserve">, </w:t>
      </w:r>
      <w:hyperlink r:id="rId104">
        <w:r w:rsidR="00526D83" w:rsidRPr="00CB3FC4">
          <w:rPr>
            <w:color w:val="7030A0"/>
            <w:u w:val="single"/>
            <w:lang w:val="en-GB"/>
          </w:rPr>
          <w:t>Chronicling America</w:t>
        </w:r>
      </w:hyperlink>
      <w:r w:rsidR="00526D83" w:rsidRPr="00535EC5">
        <w:rPr>
          <w:color w:val="000000"/>
          <w:lang w:val="en-US"/>
        </w:rPr>
        <w:t xml:space="preserve"> o</w:t>
      </w:r>
      <w:r w:rsidR="004051CD">
        <w:rPr>
          <w:color w:val="000000"/>
          <w:lang w:val="en-US"/>
        </w:rPr>
        <w:t>r</w:t>
      </w:r>
      <w:r w:rsidR="00526D83" w:rsidRPr="00535EC5">
        <w:rPr>
          <w:color w:val="000000"/>
          <w:lang w:val="en-US"/>
        </w:rPr>
        <w:t xml:space="preserve"> </w:t>
      </w:r>
      <w:hyperlink r:id="rId105">
        <w:r w:rsidR="00526D83" w:rsidRPr="00CB3FC4">
          <w:rPr>
            <w:color w:val="7030A0"/>
            <w:u w:val="single"/>
            <w:lang w:val="en-GB"/>
          </w:rPr>
          <w:t>Between our Worlds</w:t>
        </w:r>
      </w:hyperlink>
      <w:r w:rsidR="00526D83" w:rsidRPr="00535EC5">
        <w:rPr>
          <w:color w:val="000000"/>
          <w:lang w:val="en-US"/>
        </w:rPr>
        <w:t>.</w:t>
      </w:r>
    </w:p>
    <w:p w14:paraId="79B89795" w14:textId="08FE8937" w:rsidR="00526D83" w:rsidRDefault="002C216F" w:rsidP="003003F4">
      <w:pPr>
        <w:pBdr>
          <w:top w:val="nil"/>
          <w:left w:val="nil"/>
          <w:bottom w:val="nil"/>
          <w:right w:val="nil"/>
          <w:between w:val="nil"/>
        </w:pBdr>
        <w:spacing w:after="0"/>
        <w:ind w:left="709"/>
        <w:jc w:val="left"/>
        <w:rPr>
          <w:color w:val="000000"/>
          <w:lang w:val="en-US"/>
        </w:rPr>
      </w:pPr>
      <w:r>
        <w:rPr>
          <w:noProof/>
          <w:color w:val="000000"/>
          <w:lang w:val="en-US"/>
        </w:rPr>
        <w:drawing>
          <wp:anchor distT="0" distB="0" distL="114300" distR="114300" simplePos="0" relativeHeight="251669504" behindDoc="0" locked="0" layoutInCell="1" allowOverlap="1" wp14:anchorId="7E289F18" wp14:editId="6902E401">
            <wp:simplePos x="0" y="0"/>
            <wp:positionH relativeFrom="column">
              <wp:posOffset>55880</wp:posOffset>
            </wp:positionH>
            <wp:positionV relativeFrom="paragraph">
              <wp:posOffset>134620</wp:posOffset>
            </wp:positionV>
            <wp:extent cx="265430" cy="265430"/>
            <wp:effectExtent l="0" t="0" r="1270" b="1270"/>
            <wp:wrapSquare wrapText="bothSides"/>
            <wp:docPr id="23" name="Gráfico 23" descr="Libro abier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mediafile_XGOB6B.svg"/>
                    <pic:cNvPicPr/>
                  </pic:nvPicPr>
                  <pic:blipFill>
                    <a:blip r:embed="rId106" cstate="print">
                      <a:extLst>
                        <a:ext uri="{28A0092B-C50C-407E-A947-70E740481C1C}">
                          <a14:useLocalDpi xmlns:a14="http://schemas.microsoft.com/office/drawing/2010/main" val="0"/>
                        </a:ext>
                        <a:ext uri="{96DAC541-7B7A-43D3-8B79-37D633B846F1}">
                          <asvg:svgBlip xmlns:asvg="http://schemas.microsoft.com/office/drawing/2016/SVG/main" r:embed="rId107"/>
                        </a:ext>
                      </a:extLst>
                    </a:blip>
                    <a:stretch>
                      <a:fillRect/>
                    </a:stretch>
                  </pic:blipFill>
                  <pic:spPr>
                    <a:xfrm>
                      <a:off x="0" y="0"/>
                      <a:ext cx="265430" cy="265430"/>
                    </a:xfrm>
                    <a:prstGeom prst="rect">
                      <a:avLst/>
                    </a:prstGeom>
                  </pic:spPr>
                </pic:pic>
              </a:graphicData>
            </a:graphic>
            <wp14:sizeRelH relativeFrom="page">
              <wp14:pctWidth>0</wp14:pctWidth>
            </wp14:sizeRelH>
            <wp14:sizeRelV relativeFrom="page">
              <wp14:pctHeight>0</wp14:pctHeight>
            </wp14:sizeRelV>
          </wp:anchor>
        </w:drawing>
      </w:r>
      <w:r w:rsidR="004051CD" w:rsidRPr="004051CD">
        <w:rPr>
          <w:color w:val="000000"/>
          <w:lang w:val="en-US"/>
        </w:rPr>
        <w:t>Bibliography:</w:t>
      </w:r>
      <w:r w:rsidR="004051CD">
        <w:rPr>
          <w:color w:val="000000"/>
          <w:lang w:val="en-US"/>
        </w:rPr>
        <w:t xml:space="preserve"> </w:t>
      </w:r>
      <w:hyperlink r:id="rId108">
        <w:r w:rsidR="00526D83" w:rsidRPr="00CB3FC4">
          <w:rPr>
            <w:color w:val="7030A0"/>
            <w:u w:val="single"/>
            <w:lang w:val="en-GB"/>
          </w:rPr>
          <w:t>The European Library</w:t>
        </w:r>
      </w:hyperlink>
      <w:r w:rsidR="00526D83" w:rsidRPr="00535EC5">
        <w:rPr>
          <w:color w:val="000000"/>
          <w:lang w:val="en-US"/>
        </w:rPr>
        <w:t xml:space="preserve">, </w:t>
      </w:r>
      <w:hyperlink r:id="rId109">
        <w:r w:rsidR="00526D83" w:rsidRPr="00CB3FC4">
          <w:rPr>
            <w:color w:val="7030A0"/>
            <w:u w:val="single"/>
            <w:lang w:val="en-GB"/>
          </w:rPr>
          <w:t>Proyecto Gutenberg</w:t>
        </w:r>
      </w:hyperlink>
      <w:r w:rsidR="00526D83" w:rsidRPr="00535EC5">
        <w:rPr>
          <w:color w:val="000000"/>
          <w:lang w:val="en-US"/>
        </w:rPr>
        <w:t xml:space="preserve"> o</w:t>
      </w:r>
      <w:r w:rsidR="004051CD">
        <w:rPr>
          <w:color w:val="000000"/>
          <w:lang w:val="en-US"/>
        </w:rPr>
        <w:t>r</w:t>
      </w:r>
      <w:r w:rsidR="00526D83" w:rsidRPr="00535EC5">
        <w:rPr>
          <w:color w:val="000000"/>
          <w:lang w:val="en-US"/>
        </w:rPr>
        <w:t xml:space="preserve"> </w:t>
      </w:r>
      <w:hyperlink r:id="rId110">
        <w:r w:rsidR="00526D83" w:rsidRPr="00CB3FC4">
          <w:rPr>
            <w:color w:val="7030A0"/>
            <w:u w:val="single"/>
            <w:lang w:val="en-GB"/>
          </w:rPr>
          <w:t>The British National Bibliography</w:t>
        </w:r>
      </w:hyperlink>
      <w:r w:rsidR="00526D83" w:rsidRPr="00535EC5">
        <w:rPr>
          <w:color w:val="000000"/>
          <w:lang w:val="en-US"/>
        </w:rPr>
        <w:t>.</w:t>
      </w:r>
    </w:p>
    <w:p w14:paraId="3DA7EC80" w14:textId="77777777" w:rsidR="003003F4" w:rsidRPr="00535EC5" w:rsidRDefault="003003F4" w:rsidP="003003F4">
      <w:pPr>
        <w:pBdr>
          <w:top w:val="nil"/>
          <w:left w:val="nil"/>
          <w:bottom w:val="nil"/>
          <w:right w:val="nil"/>
          <w:between w:val="nil"/>
        </w:pBdr>
        <w:spacing w:after="0"/>
        <w:ind w:left="709"/>
        <w:jc w:val="left"/>
        <w:rPr>
          <w:color w:val="000000"/>
          <w:lang w:val="en-US"/>
        </w:rPr>
      </w:pPr>
    </w:p>
    <w:p w14:paraId="399C1F13" w14:textId="73B93E20" w:rsidR="00526D83" w:rsidRPr="004051CD" w:rsidRDefault="00526D83" w:rsidP="00B7528C">
      <w:pPr>
        <w:pStyle w:val="Ttulo2"/>
        <w:ind w:left="0"/>
        <w:rPr>
          <w:lang w:val="en-GB"/>
        </w:rPr>
      </w:pPr>
      <w:bookmarkStart w:id="27" w:name="_Toc30777401"/>
      <w:bookmarkStart w:id="28" w:name="_Toc34134697"/>
      <w:r w:rsidRPr="004051CD">
        <w:rPr>
          <w:lang w:val="en-GB"/>
        </w:rPr>
        <w:t>1.3 –</w:t>
      </w:r>
      <w:bookmarkEnd w:id="27"/>
      <w:r w:rsidR="004051CD" w:rsidRPr="004051CD">
        <w:rPr>
          <w:lang w:val="en-GB"/>
        </w:rPr>
        <w:t xml:space="preserve">DATA </w:t>
      </w:r>
      <w:r w:rsidR="004051CD">
        <w:rPr>
          <w:lang w:val="en-GB"/>
        </w:rPr>
        <w:t>BY</w:t>
      </w:r>
      <w:r w:rsidR="004051CD" w:rsidRPr="004051CD">
        <w:rPr>
          <w:lang w:val="en-GB"/>
        </w:rPr>
        <w:t xml:space="preserve"> THE THIRD SECTOR</w:t>
      </w:r>
      <w:bookmarkEnd w:id="28"/>
    </w:p>
    <w:p w14:paraId="0FA033AB" w14:textId="77777777" w:rsidR="004051CD" w:rsidRPr="004051CD" w:rsidRDefault="004051CD" w:rsidP="00731FC7">
      <w:pPr>
        <w:spacing w:after="0"/>
        <w:rPr>
          <w:lang w:val="en-GB"/>
        </w:rPr>
      </w:pPr>
      <w:r w:rsidRPr="004051CD">
        <w:rPr>
          <w:lang w:val="en-GB"/>
        </w:rPr>
        <w:t xml:space="preserve">The </w:t>
      </w:r>
      <w:r w:rsidRPr="004051CD">
        <w:rPr>
          <w:b/>
          <w:lang w:val="en-GB"/>
        </w:rPr>
        <w:t xml:space="preserve">third sector </w:t>
      </w:r>
      <w:r w:rsidRPr="004051CD">
        <w:rPr>
          <w:lang w:val="en-GB"/>
        </w:rPr>
        <w:t>simply refers to that sector of the economy that is not directly included in the private or public sectors. The entities of this sector - generally non-profit - arise mostly through the push of citizenship or by the interest of some companies in getting involved with more concrete actions in some social fields in which they are interested.</w:t>
      </w:r>
    </w:p>
    <w:p w14:paraId="663EBEE5" w14:textId="327826F7" w:rsidR="004051CD" w:rsidRPr="004051CD" w:rsidRDefault="004051CD" w:rsidP="00731FC7">
      <w:pPr>
        <w:spacing w:after="0"/>
        <w:rPr>
          <w:lang w:val="en-GB"/>
        </w:rPr>
      </w:pPr>
      <w:r w:rsidRPr="004051CD">
        <w:rPr>
          <w:lang w:val="en-GB"/>
        </w:rPr>
        <w:t xml:space="preserve">While it could be considered that the volume of data generated in this sector is significantly less than other sectors that we have seen, it should also be </w:t>
      </w:r>
      <w:r w:rsidR="00CB3FC4" w:rsidRPr="004051CD">
        <w:rPr>
          <w:lang w:val="en-GB"/>
        </w:rPr>
        <w:t>considered</w:t>
      </w:r>
      <w:r w:rsidRPr="004051CD">
        <w:rPr>
          <w:lang w:val="en-GB"/>
        </w:rPr>
        <w:t xml:space="preserve"> that the third sector has become a very relevant actor in social development</w:t>
      </w:r>
      <w:r>
        <w:rPr>
          <w:lang w:val="en-GB"/>
        </w:rPr>
        <w:t xml:space="preserve">. </w:t>
      </w:r>
      <w:r w:rsidRPr="004051CD">
        <w:rPr>
          <w:lang w:val="en-GB"/>
        </w:rPr>
        <w:t>In addition, on many occasions, it covers unique needs to which no one else is giving an adequate response. For the same reason, and regardless of the volume of data we are talking about, data from this sector generally have a high value due to its unique character.</w:t>
      </w:r>
    </w:p>
    <w:p w14:paraId="0B20680B" w14:textId="657CAFD9" w:rsidR="00526D83" w:rsidRPr="004051CD" w:rsidRDefault="004051CD" w:rsidP="004051CD">
      <w:pPr>
        <w:spacing w:after="0"/>
        <w:rPr>
          <w:lang w:val="en-GB"/>
        </w:rPr>
      </w:pPr>
      <w:r w:rsidRPr="004051CD">
        <w:rPr>
          <w:lang w:val="en-GB"/>
        </w:rPr>
        <w:t>As in the previous cases, in the following sections we will see different motivations when providing access to data in this sector accompanied by the corresponding examples</w:t>
      </w:r>
      <w:r>
        <w:rPr>
          <w:lang w:val="en-GB"/>
        </w:rPr>
        <w:t>, as the following figure shows:</w:t>
      </w:r>
    </w:p>
    <w:p w14:paraId="011C848E" w14:textId="08C69912" w:rsidR="003003F4" w:rsidRDefault="003003F4" w:rsidP="00731FC7">
      <w:pPr>
        <w:spacing w:after="0"/>
      </w:pPr>
      <w:r>
        <w:rPr>
          <w:noProof/>
        </w:rPr>
        <w:lastRenderedPageBreak/>
        <w:drawing>
          <wp:inline distT="0" distB="0" distL="0" distR="0" wp14:anchorId="45EB05BB" wp14:editId="7C105F0A">
            <wp:extent cx="5762765" cy="2411730"/>
            <wp:effectExtent l="0" t="0" r="9525" b="762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Visual_Doc_05.jpg"/>
                    <pic:cNvPicPr/>
                  </pic:nvPicPr>
                  <pic:blipFill>
                    <a:blip r:embed="rId111">
                      <a:extLst>
                        <a:ext uri="{28A0092B-C50C-407E-A947-70E740481C1C}">
                          <a14:useLocalDpi xmlns:a14="http://schemas.microsoft.com/office/drawing/2010/main" val="0"/>
                        </a:ext>
                      </a:extLst>
                    </a:blip>
                    <a:stretch>
                      <a:fillRect/>
                    </a:stretch>
                  </pic:blipFill>
                  <pic:spPr>
                    <a:xfrm>
                      <a:off x="0" y="0"/>
                      <a:ext cx="5762765" cy="2411730"/>
                    </a:xfrm>
                    <a:prstGeom prst="rect">
                      <a:avLst/>
                    </a:prstGeom>
                  </pic:spPr>
                </pic:pic>
              </a:graphicData>
            </a:graphic>
          </wp:inline>
        </w:drawing>
      </w:r>
    </w:p>
    <w:p w14:paraId="7544376C" w14:textId="4C1686B5" w:rsidR="00526D83" w:rsidRPr="007C2BCB" w:rsidRDefault="00526D83" w:rsidP="00B7528C">
      <w:pPr>
        <w:pStyle w:val="Ttulo3"/>
        <w:numPr>
          <w:ilvl w:val="0"/>
          <w:numId w:val="0"/>
        </w:numPr>
        <w:spacing w:before="240" w:after="0" w:line="360" w:lineRule="auto"/>
        <w:ind w:left="720" w:hanging="720"/>
        <w:rPr>
          <w:lang w:val="en-GB"/>
        </w:rPr>
      </w:pPr>
      <w:bookmarkStart w:id="29" w:name="_Toc30777402"/>
      <w:bookmarkStart w:id="30" w:name="_Toc34134698"/>
      <w:r w:rsidRPr="007C2BCB">
        <w:rPr>
          <w:lang w:val="en-GB"/>
        </w:rPr>
        <w:t xml:space="preserve">1.3.1 </w:t>
      </w:r>
      <w:r w:rsidR="007C2BCB" w:rsidRPr="007C2BCB">
        <w:rPr>
          <w:lang w:val="en-GB"/>
        </w:rPr>
        <w:t>–</w:t>
      </w:r>
      <w:r w:rsidRPr="007C2BCB">
        <w:rPr>
          <w:lang w:val="en-GB"/>
        </w:rPr>
        <w:t xml:space="preserve"> Transparenc</w:t>
      </w:r>
      <w:r w:rsidR="007C2BCB" w:rsidRPr="007C2BCB">
        <w:rPr>
          <w:lang w:val="en-GB"/>
        </w:rPr>
        <w:t>y in management</w:t>
      </w:r>
      <w:bookmarkEnd w:id="29"/>
      <w:bookmarkEnd w:id="30"/>
    </w:p>
    <w:p w14:paraId="000C0849" w14:textId="55252C0A" w:rsidR="007C2BCB" w:rsidRPr="00433274" w:rsidRDefault="007C2BCB" w:rsidP="00731FC7">
      <w:pPr>
        <w:spacing w:after="0"/>
        <w:rPr>
          <w:lang w:val="en-GB"/>
        </w:rPr>
      </w:pPr>
      <w:r w:rsidRPr="007C2BCB">
        <w:rPr>
          <w:lang w:val="en-GB"/>
        </w:rPr>
        <w:t xml:space="preserve">In the social and solidarity economy, greater transparency is not only a good practice, but, due to the especially scarce resources that these organizations usually have, it is also an essential step </w:t>
      </w:r>
      <w:r w:rsidRPr="00BF4DFD">
        <w:rPr>
          <w:lang w:val="en-GB"/>
        </w:rPr>
        <w:t>to</w:t>
      </w:r>
      <w:r w:rsidRPr="00BF4DFD">
        <w:rPr>
          <w:b/>
          <w:lang w:val="en-GB"/>
        </w:rPr>
        <w:t xml:space="preserve"> improve coordination, accountability and efficiency</w:t>
      </w:r>
      <w:r w:rsidRPr="007C2BCB">
        <w:rPr>
          <w:lang w:val="en-GB"/>
        </w:rPr>
        <w:t xml:space="preserve">. </w:t>
      </w:r>
      <w:r w:rsidRPr="00433274">
        <w:rPr>
          <w:lang w:val="en-GB"/>
        </w:rPr>
        <w:t>So that:</w:t>
      </w:r>
    </w:p>
    <w:p w14:paraId="41E75BEB" w14:textId="0B4C9A6F" w:rsidR="00526D83" w:rsidRPr="00BF4DFD" w:rsidRDefault="003003F4"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70528" behindDoc="0" locked="0" layoutInCell="1" allowOverlap="1" wp14:anchorId="51A0FAE1" wp14:editId="72D06D76">
            <wp:simplePos x="0" y="0"/>
            <wp:positionH relativeFrom="column">
              <wp:posOffset>481330</wp:posOffset>
            </wp:positionH>
            <wp:positionV relativeFrom="paragraph">
              <wp:posOffset>156210</wp:posOffset>
            </wp:positionV>
            <wp:extent cx="446405" cy="446405"/>
            <wp:effectExtent l="0" t="0" r="0" b="0"/>
            <wp:wrapSquare wrapText="bothSides"/>
            <wp:docPr id="16" name="Gráfico 16" descr="Profe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mediafile_3sqa0C.svg"/>
                    <pic:cNvPicPr/>
                  </pic:nvPicPr>
                  <pic:blipFill>
                    <a:blip r:embed="rId112">
                      <a:extLst>
                        <a:ext uri="{28A0092B-C50C-407E-A947-70E740481C1C}">
                          <a14:useLocalDpi xmlns:a14="http://schemas.microsoft.com/office/drawing/2010/main" val="0"/>
                        </a:ext>
                        <a:ext uri="{96DAC541-7B7A-43D3-8B79-37D633B846F1}">
                          <asvg:svgBlip xmlns:asvg="http://schemas.microsoft.com/office/drawing/2016/SVG/main" r:embed="rId113"/>
                        </a:ext>
                      </a:extLst>
                    </a:blip>
                    <a:stretch>
                      <a:fillRect/>
                    </a:stretch>
                  </pic:blipFill>
                  <pic:spPr>
                    <a:xfrm>
                      <a:off x="0" y="0"/>
                      <a:ext cx="446405" cy="446405"/>
                    </a:xfrm>
                    <a:prstGeom prst="rect">
                      <a:avLst/>
                    </a:prstGeom>
                  </pic:spPr>
                </pic:pic>
              </a:graphicData>
            </a:graphic>
            <wp14:sizeRelH relativeFrom="page">
              <wp14:pctWidth>0</wp14:pctWidth>
            </wp14:sizeRelH>
            <wp14:sizeRelV relativeFrom="page">
              <wp14:pctHeight>0</wp14:pctHeight>
            </wp14:sizeRelV>
          </wp:anchor>
        </w:drawing>
      </w:r>
      <w:r w:rsidR="00BF4DFD" w:rsidRPr="00BF4DFD">
        <w:rPr>
          <w:b/>
          <w:color w:val="000000"/>
          <w:lang w:val="en-GB"/>
        </w:rPr>
        <w:t>Governments in developing countries</w:t>
      </w:r>
      <w:r w:rsidR="00BF4DFD" w:rsidRPr="00BF4DFD">
        <w:rPr>
          <w:color w:val="000000"/>
          <w:lang w:val="en-GB"/>
        </w:rPr>
        <w:t xml:space="preserve"> need up-to-date information on humanitarian and development organizations operating in their country, in order to work with them more effectively.</w:t>
      </w:r>
    </w:p>
    <w:p w14:paraId="63BE163E" w14:textId="5873DCE3" w:rsidR="00526D83" w:rsidRPr="00BF4DFD" w:rsidRDefault="00D12687"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71552" behindDoc="0" locked="0" layoutInCell="1" allowOverlap="1" wp14:anchorId="7427B0A8" wp14:editId="4F85EA07">
            <wp:simplePos x="0" y="0"/>
            <wp:positionH relativeFrom="column">
              <wp:posOffset>460375</wp:posOffset>
            </wp:positionH>
            <wp:positionV relativeFrom="paragraph">
              <wp:posOffset>148590</wp:posOffset>
            </wp:positionV>
            <wp:extent cx="446405" cy="446405"/>
            <wp:effectExtent l="0" t="0" r="0" b="0"/>
            <wp:wrapSquare wrapText="bothSides"/>
            <wp:docPr id="20" name="Gráfico 20" descr="Moned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ediafile_JU44n0.svg"/>
                    <pic:cNvPicPr/>
                  </pic:nvPicPr>
                  <pic:blipFill>
                    <a:blip r:embed="rId114">
                      <a:extLst>
                        <a:ext uri="{28A0092B-C50C-407E-A947-70E740481C1C}">
                          <a14:useLocalDpi xmlns:a14="http://schemas.microsoft.com/office/drawing/2010/main" val="0"/>
                        </a:ext>
                        <a:ext uri="{96DAC541-7B7A-43D3-8B79-37D633B846F1}">
                          <asvg:svgBlip xmlns:asvg="http://schemas.microsoft.com/office/drawing/2016/SVG/main" r:embed="rId115"/>
                        </a:ext>
                      </a:extLst>
                    </a:blip>
                    <a:stretch>
                      <a:fillRect/>
                    </a:stretch>
                  </pic:blipFill>
                  <pic:spPr>
                    <a:xfrm>
                      <a:off x="0" y="0"/>
                      <a:ext cx="446405" cy="446405"/>
                    </a:xfrm>
                    <a:prstGeom prst="rect">
                      <a:avLst/>
                    </a:prstGeom>
                  </pic:spPr>
                </pic:pic>
              </a:graphicData>
            </a:graphic>
            <wp14:sizeRelH relativeFrom="page">
              <wp14:pctWidth>0</wp14:pctWidth>
            </wp14:sizeRelH>
            <wp14:sizeRelV relativeFrom="page">
              <wp14:pctHeight>0</wp14:pctHeight>
            </wp14:sizeRelV>
          </wp:anchor>
        </w:drawing>
      </w:r>
      <w:r w:rsidR="00BF4DFD" w:rsidRPr="00BF4DFD">
        <w:rPr>
          <w:b/>
          <w:color w:val="000000"/>
          <w:lang w:val="en-GB"/>
        </w:rPr>
        <w:t>Donors and multilateral agencies</w:t>
      </w:r>
      <w:r w:rsidR="00BF4DFD" w:rsidRPr="00BF4DFD">
        <w:rPr>
          <w:color w:val="000000"/>
          <w:lang w:val="en-GB"/>
        </w:rPr>
        <w:t xml:space="preserve"> need to understand how and where their investments could have the greatest impact.</w:t>
      </w:r>
    </w:p>
    <w:p w14:paraId="0E683A7E" w14:textId="7F897B08" w:rsidR="00526D83" w:rsidRPr="00BF4DFD" w:rsidRDefault="00D12687"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72576" behindDoc="0" locked="0" layoutInCell="1" allowOverlap="1" wp14:anchorId="51057DAB" wp14:editId="5EAA850E">
            <wp:simplePos x="0" y="0"/>
            <wp:positionH relativeFrom="column">
              <wp:posOffset>467995</wp:posOffset>
            </wp:positionH>
            <wp:positionV relativeFrom="paragraph">
              <wp:posOffset>165100</wp:posOffset>
            </wp:positionV>
            <wp:extent cx="446568" cy="446568"/>
            <wp:effectExtent l="0" t="0" r="0" b="0"/>
            <wp:wrapSquare wrapText="bothSides"/>
            <wp:docPr id="24" name="Gráfico 24" descr="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mediafile_DxuTLi.svg"/>
                    <pic:cNvPicPr/>
                  </pic:nvPicPr>
                  <pic:blipFill>
                    <a:blip r:embed="rId116">
                      <a:extLst>
                        <a:ext uri="{28A0092B-C50C-407E-A947-70E740481C1C}">
                          <a14:useLocalDpi xmlns:a14="http://schemas.microsoft.com/office/drawing/2010/main" val="0"/>
                        </a:ext>
                        <a:ext uri="{96DAC541-7B7A-43D3-8B79-37D633B846F1}">
                          <asvg:svgBlip xmlns:asvg="http://schemas.microsoft.com/office/drawing/2016/SVG/main" r:embed="rId117"/>
                        </a:ext>
                      </a:extLst>
                    </a:blip>
                    <a:stretch>
                      <a:fillRect/>
                    </a:stretch>
                  </pic:blipFill>
                  <pic:spPr>
                    <a:xfrm>
                      <a:off x="0" y="0"/>
                      <a:ext cx="446568" cy="446568"/>
                    </a:xfrm>
                    <a:prstGeom prst="rect">
                      <a:avLst/>
                    </a:prstGeom>
                  </pic:spPr>
                </pic:pic>
              </a:graphicData>
            </a:graphic>
            <wp14:sizeRelH relativeFrom="page">
              <wp14:pctWidth>0</wp14:pctWidth>
            </wp14:sizeRelH>
            <wp14:sizeRelV relativeFrom="page">
              <wp14:pctHeight>0</wp14:pctHeight>
            </wp14:sizeRelV>
          </wp:anchor>
        </w:drawing>
      </w:r>
      <w:r w:rsidR="00BF4DFD" w:rsidRPr="00BF4DFD">
        <w:rPr>
          <w:b/>
          <w:color w:val="000000"/>
          <w:lang w:val="en-GB"/>
        </w:rPr>
        <w:t>Civil society organizations</w:t>
      </w:r>
      <w:r w:rsidR="00BF4DFD" w:rsidRPr="00BF4DFD">
        <w:rPr>
          <w:color w:val="000000"/>
          <w:lang w:val="en-GB"/>
        </w:rPr>
        <w:t xml:space="preserve"> that provide services need to see what is happening in each place and time, to improve coordination and avoid duplicat</w:t>
      </w:r>
      <w:r w:rsidR="00CB3FC4">
        <w:rPr>
          <w:color w:val="000000"/>
          <w:lang w:val="en-GB"/>
        </w:rPr>
        <w:t>e</w:t>
      </w:r>
      <w:r w:rsidR="00BF4DFD" w:rsidRPr="00BF4DFD">
        <w:rPr>
          <w:color w:val="000000"/>
          <w:lang w:val="en-GB"/>
        </w:rPr>
        <w:t xml:space="preserve"> efforts.</w:t>
      </w:r>
    </w:p>
    <w:p w14:paraId="4F98B1D0" w14:textId="556B14F2" w:rsidR="00526D83" w:rsidRPr="00BF4DFD" w:rsidRDefault="00D12687"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73600" behindDoc="0" locked="0" layoutInCell="1" allowOverlap="1" wp14:anchorId="590E86F5" wp14:editId="5F37A11D">
            <wp:simplePos x="0" y="0"/>
            <wp:positionH relativeFrom="column">
              <wp:posOffset>485140</wp:posOffset>
            </wp:positionH>
            <wp:positionV relativeFrom="paragraph">
              <wp:posOffset>90805</wp:posOffset>
            </wp:positionV>
            <wp:extent cx="467360" cy="467360"/>
            <wp:effectExtent l="0" t="0" r="0" b="0"/>
            <wp:wrapSquare wrapText="bothSides"/>
            <wp:docPr id="25" name="Gráfico 25" descr="Marke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ediafile_oUd8h0.svg"/>
                    <pic:cNvPicPr/>
                  </pic:nvPicPr>
                  <pic:blipFill>
                    <a:blip r:embed="rId118">
                      <a:extLst>
                        <a:ext uri="{28A0092B-C50C-407E-A947-70E740481C1C}">
                          <a14:useLocalDpi xmlns:a14="http://schemas.microsoft.com/office/drawing/2010/main" val="0"/>
                        </a:ext>
                        <a:ext uri="{96DAC541-7B7A-43D3-8B79-37D633B846F1}">
                          <asvg:svgBlip xmlns:asvg="http://schemas.microsoft.com/office/drawing/2016/SVG/main" r:embed="rId119"/>
                        </a:ext>
                      </a:extLst>
                    </a:blip>
                    <a:stretch>
                      <a:fillRect/>
                    </a:stretch>
                  </pic:blipFill>
                  <pic:spPr>
                    <a:xfrm>
                      <a:off x="0" y="0"/>
                      <a:ext cx="467360" cy="467360"/>
                    </a:xfrm>
                    <a:prstGeom prst="rect">
                      <a:avLst/>
                    </a:prstGeom>
                  </pic:spPr>
                </pic:pic>
              </a:graphicData>
            </a:graphic>
            <wp14:sizeRelH relativeFrom="page">
              <wp14:pctWidth>0</wp14:pctWidth>
            </wp14:sizeRelH>
            <wp14:sizeRelV relativeFrom="page">
              <wp14:pctHeight>0</wp14:pctHeight>
            </wp14:sizeRelV>
          </wp:anchor>
        </w:drawing>
      </w:r>
      <w:r w:rsidR="00BF4DFD" w:rsidRPr="00BF4DFD">
        <w:rPr>
          <w:b/>
          <w:color w:val="000000"/>
          <w:lang w:val="en-GB"/>
        </w:rPr>
        <w:t>Citizens and journalists</w:t>
      </w:r>
      <w:r w:rsidR="00BF4DFD" w:rsidRPr="00BF4DFD">
        <w:rPr>
          <w:color w:val="000000"/>
          <w:lang w:val="en-GB"/>
        </w:rPr>
        <w:t xml:space="preserve"> also need this information so that their governments can account for their expenses and the good use of resources.</w:t>
      </w:r>
    </w:p>
    <w:p w14:paraId="157C2A45" w14:textId="67CE41B3" w:rsidR="00BF4DFD" w:rsidRPr="00BF4DFD" w:rsidRDefault="00CB3FC4" w:rsidP="00BF4DFD">
      <w:pPr>
        <w:spacing w:after="0"/>
        <w:rPr>
          <w:lang w:val="en-GB"/>
        </w:rPr>
      </w:pPr>
      <w:r>
        <w:rPr>
          <w:lang w:val="en-GB"/>
        </w:rPr>
        <w:t>T</w:t>
      </w:r>
      <w:r w:rsidR="00BF4DFD" w:rsidRPr="00BF4DFD">
        <w:rPr>
          <w:lang w:val="en-GB"/>
        </w:rPr>
        <w:t>herefore</w:t>
      </w:r>
      <w:r>
        <w:rPr>
          <w:lang w:val="en-GB"/>
        </w:rPr>
        <w:t>, it is</w:t>
      </w:r>
      <w:r w:rsidR="00BF4DFD" w:rsidRPr="00BF4DFD">
        <w:rPr>
          <w:lang w:val="en-GB"/>
        </w:rPr>
        <w:t xml:space="preserve"> not surprising that some of the pioneer and more complete initiatives in terms of transparency in the functioning of organizations have arisen precisely in the </w:t>
      </w:r>
      <w:r w:rsidR="00BF4DFD" w:rsidRPr="00BF4DFD">
        <w:rPr>
          <w:lang w:val="en-GB"/>
        </w:rPr>
        <w:lastRenderedPageBreak/>
        <w:t>third sector, thus opening the doors to a whole valuable set of data on their internal functioning.</w:t>
      </w:r>
    </w:p>
    <w:p w14:paraId="4E40BE03" w14:textId="3858C47C" w:rsidR="00BF4DFD" w:rsidRPr="00BF4DFD" w:rsidRDefault="00BF4DFD" w:rsidP="00BF4DFD">
      <w:pPr>
        <w:spacing w:after="0"/>
        <w:rPr>
          <w:lang w:val="en-GB"/>
        </w:rPr>
      </w:pPr>
      <w:r w:rsidRPr="00BF4DFD">
        <w:rPr>
          <w:lang w:val="en-GB"/>
        </w:rPr>
        <w:t xml:space="preserve">For example, there are more than 1,000 third sector organizations that have been using the </w:t>
      </w:r>
      <w:hyperlink r:id="rId120" w:history="1">
        <w:r w:rsidRPr="00CB3FC4">
          <w:rPr>
            <w:color w:val="7030A0"/>
            <w:u w:val="single"/>
            <w:lang w:val="en-GB"/>
          </w:rPr>
          <w:t>International Aid Transparency Initiative</w:t>
        </w:r>
      </w:hyperlink>
      <w:r w:rsidRPr="00BF4DFD">
        <w:rPr>
          <w:lang w:val="en-GB"/>
        </w:rPr>
        <w:t xml:space="preserve"> (IATI) </w:t>
      </w:r>
      <w:hyperlink r:id="rId121" w:history="1">
        <w:r w:rsidRPr="00CB3FC4">
          <w:rPr>
            <w:color w:val="7030A0"/>
            <w:u w:val="single"/>
            <w:lang w:val="en-GB"/>
          </w:rPr>
          <w:t>standard</w:t>
        </w:r>
      </w:hyperlink>
      <w:r w:rsidRPr="00BF4DFD">
        <w:rPr>
          <w:lang w:val="en-GB"/>
        </w:rPr>
        <w:t xml:space="preserve"> for the past 10 years to share details about their budgets, areas of action and results. Thanks to the wide range of tools available for </w:t>
      </w:r>
      <w:hyperlink r:id="rId122" w:history="1">
        <w:r w:rsidRPr="00CB3FC4">
          <w:rPr>
            <w:color w:val="7030A0"/>
            <w:u w:val="single"/>
            <w:lang w:val="en-GB"/>
          </w:rPr>
          <w:t>ease their use</w:t>
        </w:r>
      </w:hyperlink>
      <w:r w:rsidRPr="00BF4DFD">
        <w:rPr>
          <w:lang w:val="en-GB"/>
        </w:rPr>
        <w:t>, this data has already become a valuable tool when planning development aid.</w:t>
      </w:r>
    </w:p>
    <w:p w14:paraId="202D75A5" w14:textId="100C2B0F" w:rsidR="00BF4DFD" w:rsidRPr="00BF4DFD" w:rsidRDefault="00BF4DFD" w:rsidP="00731FC7">
      <w:pPr>
        <w:spacing w:after="0"/>
        <w:rPr>
          <w:lang w:val="en-GB"/>
        </w:rPr>
      </w:pPr>
      <w:r w:rsidRPr="00BF4DFD">
        <w:rPr>
          <w:lang w:val="en-GB"/>
        </w:rPr>
        <w:t xml:space="preserve">Another similar example is the </w:t>
      </w:r>
      <w:hyperlink r:id="rId123" w:history="1">
        <w:r w:rsidRPr="00CB3FC4">
          <w:rPr>
            <w:color w:val="7030A0"/>
            <w:u w:val="single"/>
            <w:lang w:val="en-GB"/>
          </w:rPr>
          <w:t>360Giving standard</w:t>
        </w:r>
      </w:hyperlink>
      <w:r w:rsidRPr="00BF4DFD">
        <w:rPr>
          <w:lang w:val="en-GB"/>
        </w:rPr>
        <w:t>, whose mission is to support UK donors to publish information on who, where and what they fund in an open and standardized format with the aim of building a complete and reliable picture of the landscape of financing and thus increase its impact.</w:t>
      </w:r>
    </w:p>
    <w:p w14:paraId="35D638FA" w14:textId="15CC4FD4" w:rsidR="00526D83" w:rsidRPr="00BF4DFD" w:rsidRDefault="00526D83" w:rsidP="00B7528C">
      <w:pPr>
        <w:pStyle w:val="Ttulo3"/>
        <w:numPr>
          <w:ilvl w:val="0"/>
          <w:numId w:val="0"/>
        </w:numPr>
        <w:spacing w:before="240" w:after="0" w:line="360" w:lineRule="auto"/>
        <w:ind w:left="720" w:hanging="720"/>
        <w:rPr>
          <w:lang w:val="en-GB"/>
        </w:rPr>
      </w:pPr>
      <w:bookmarkStart w:id="31" w:name="_Toc30777403"/>
      <w:bookmarkStart w:id="32" w:name="_Toc34134699"/>
      <w:r w:rsidRPr="00BF4DFD">
        <w:rPr>
          <w:lang w:val="en-GB"/>
        </w:rPr>
        <w:t xml:space="preserve">1.3.2 </w:t>
      </w:r>
      <w:r w:rsidR="00BF4DFD" w:rsidRPr="00BF4DFD">
        <w:rPr>
          <w:lang w:val="en-GB"/>
        </w:rPr>
        <w:t>–</w:t>
      </w:r>
      <w:r w:rsidRPr="00BF4DFD">
        <w:rPr>
          <w:lang w:val="en-GB"/>
        </w:rPr>
        <w:t xml:space="preserve"> Dat</w:t>
      </w:r>
      <w:bookmarkEnd w:id="31"/>
      <w:r w:rsidR="00BF4DFD" w:rsidRPr="00BF4DFD">
        <w:rPr>
          <w:lang w:val="en-GB"/>
        </w:rPr>
        <w:t>a to boost development</w:t>
      </w:r>
      <w:bookmarkEnd w:id="32"/>
    </w:p>
    <w:p w14:paraId="09766F56" w14:textId="7B59A27D" w:rsidR="00BF4DFD" w:rsidRPr="00BF4DFD" w:rsidRDefault="00BF4DFD" w:rsidP="00731FC7">
      <w:pPr>
        <w:spacing w:after="0"/>
        <w:rPr>
          <w:lang w:val="en-GB"/>
        </w:rPr>
      </w:pPr>
      <w:r w:rsidRPr="00BF4DFD">
        <w:rPr>
          <w:lang w:val="en-GB"/>
        </w:rPr>
        <w:t xml:space="preserve">The data has been widely used in international development for many years. Thanks to them, development organizations have been able </w:t>
      </w:r>
      <w:r w:rsidRPr="00BF4DFD">
        <w:rPr>
          <w:b/>
          <w:lang w:val="en-GB"/>
        </w:rPr>
        <w:t>to define the most appropriate and relevant interventions</w:t>
      </w:r>
      <w:r w:rsidRPr="00BF4DFD">
        <w:rPr>
          <w:lang w:val="en-GB"/>
        </w:rPr>
        <w:t xml:space="preserve">, </w:t>
      </w:r>
      <w:r w:rsidRPr="00BF4DFD">
        <w:rPr>
          <w:b/>
          <w:lang w:val="en-GB"/>
        </w:rPr>
        <w:t>evaluate the progress</w:t>
      </w:r>
      <w:r w:rsidRPr="00BF4DFD">
        <w:rPr>
          <w:lang w:val="en-GB"/>
        </w:rPr>
        <w:t xml:space="preserve"> of projects over time and </w:t>
      </w:r>
      <w:r w:rsidRPr="00BF4DFD">
        <w:rPr>
          <w:b/>
          <w:lang w:val="en-GB"/>
        </w:rPr>
        <w:t>evaluate the effectiveness</w:t>
      </w:r>
      <w:r w:rsidRPr="00BF4DFD">
        <w:rPr>
          <w:lang w:val="en-GB"/>
        </w:rPr>
        <w:t xml:space="preserve"> of the global development agenda. Digitization now offers multiple new and interesting opportunities for development by allowing same data to be used more efficiently to strengthen decision-making processes and improve service delivery, achieve more meaningful citizen participation and increase responsiveness in humanitarian services</w:t>
      </w:r>
      <w:r>
        <w:rPr>
          <w:lang w:val="en-GB"/>
        </w:rPr>
        <w:t>.</w:t>
      </w:r>
      <w:r w:rsidRPr="00BF4DFD">
        <w:rPr>
          <w:lang w:val="en-GB"/>
        </w:rPr>
        <w:t xml:space="preserve"> </w:t>
      </w:r>
      <w:r>
        <w:rPr>
          <w:lang w:val="en-GB"/>
        </w:rPr>
        <w:t>D</w:t>
      </w:r>
      <w:r w:rsidRPr="00BF4DFD">
        <w:rPr>
          <w:lang w:val="en-GB"/>
        </w:rPr>
        <w:t>ata has definitely become one of the key ingredients that can contribute to solving the challenges of global development, together with the right organizations, communities and leaders.</w:t>
      </w:r>
    </w:p>
    <w:p w14:paraId="6825AE1A" w14:textId="3A8035DE" w:rsidR="00BF4DFD" w:rsidRPr="00BF4DFD" w:rsidRDefault="00BF4DFD" w:rsidP="00731FC7">
      <w:pPr>
        <w:spacing w:after="0"/>
        <w:rPr>
          <w:lang w:val="en-GB"/>
        </w:rPr>
      </w:pPr>
      <w:r w:rsidRPr="00BF4DFD">
        <w:rPr>
          <w:lang w:val="en-GB"/>
        </w:rPr>
        <w:t xml:space="preserve">One of the main actors involved in the production, management and analysis of data for development has historically been the International Development Banks. Thus, it is not surprising that both the </w:t>
      </w:r>
      <w:hyperlink r:id="rId124" w:history="1">
        <w:r w:rsidRPr="00CB3FC4">
          <w:rPr>
            <w:color w:val="7030A0"/>
            <w:u w:val="single"/>
            <w:lang w:val="en-GB"/>
          </w:rPr>
          <w:t>Inter-American Development Bank (IDB)</w:t>
        </w:r>
      </w:hyperlink>
      <w:r w:rsidRPr="00BF4DFD">
        <w:rPr>
          <w:lang w:val="en-GB"/>
        </w:rPr>
        <w:t xml:space="preserve">, the </w:t>
      </w:r>
      <w:hyperlink r:id="rId125" w:history="1">
        <w:r w:rsidRPr="00CB3FC4">
          <w:rPr>
            <w:color w:val="7030A0"/>
            <w:u w:val="single"/>
            <w:lang w:val="en-GB"/>
          </w:rPr>
          <w:t>Asian Development Bank</w:t>
        </w:r>
      </w:hyperlink>
      <w:r w:rsidRPr="00BF4DFD">
        <w:rPr>
          <w:lang w:val="en-GB"/>
        </w:rPr>
        <w:t xml:space="preserve"> and the </w:t>
      </w:r>
      <w:hyperlink r:id="rId126" w:history="1">
        <w:r w:rsidRPr="00CB3FC4">
          <w:rPr>
            <w:color w:val="7030A0"/>
            <w:u w:val="single"/>
            <w:lang w:val="en-GB"/>
          </w:rPr>
          <w:t>African Development Bank</w:t>
        </w:r>
      </w:hyperlink>
      <w:r w:rsidRPr="00BF4DFD">
        <w:rPr>
          <w:lang w:val="en-GB"/>
        </w:rPr>
        <w:t xml:space="preserve"> currently have their own data platforms as key tools in their fight to reduce poverty and inequality in their respective areas of action. Of course, other large international organizations also have their own </w:t>
      </w:r>
      <w:r w:rsidRPr="00BF4DFD">
        <w:rPr>
          <w:lang w:val="en-GB"/>
        </w:rPr>
        <w:lastRenderedPageBreak/>
        <w:t xml:space="preserve">data banks specifically focused on development, such as the </w:t>
      </w:r>
      <w:hyperlink r:id="rId127" w:history="1">
        <w:r w:rsidRPr="004F4F68">
          <w:rPr>
            <w:color w:val="7030A0"/>
            <w:u w:val="single"/>
            <w:lang w:val="en-GB"/>
          </w:rPr>
          <w:t>World Bank</w:t>
        </w:r>
      </w:hyperlink>
      <w:r w:rsidRPr="00BF4DFD">
        <w:rPr>
          <w:lang w:val="en-GB"/>
        </w:rPr>
        <w:t xml:space="preserve">, </w:t>
      </w:r>
      <w:hyperlink r:id="rId128">
        <w:r w:rsidR="00B15343" w:rsidRPr="004F4F68">
          <w:rPr>
            <w:color w:val="7030A0"/>
            <w:u w:val="single"/>
            <w:lang w:val="en-GB"/>
          </w:rPr>
          <w:t>USAid</w:t>
        </w:r>
      </w:hyperlink>
      <w:r w:rsidRPr="00BF4DFD">
        <w:rPr>
          <w:lang w:val="en-GB"/>
        </w:rPr>
        <w:t xml:space="preserve"> or the </w:t>
      </w:r>
      <w:hyperlink r:id="rId129">
        <w:r w:rsidR="00B15343" w:rsidRPr="004F4F68">
          <w:rPr>
            <w:color w:val="7030A0"/>
            <w:u w:val="single"/>
            <w:lang w:val="en-GB"/>
          </w:rPr>
          <w:t>OECD</w:t>
        </w:r>
      </w:hyperlink>
      <w:r w:rsidRPr="00BF4DFD">
        <w:rPr>
          <w:lang w:val="en-GB"/>
        </w:rPr>
        <w:t xml:space="preserve">. There are also other interesting initiatives outside the </w:t>
      </w:r>
      <w:r w:rsidR="004F4F68">
        <w:rPr>
          <w:lang w:val="en-GB"/>
        </w:rPr>
        <w:t>big</w:t>
      </w:r>
      <w:r w:rsidRPr="00BF4DFD">
        <w:rPr>
          <w:lang w:val="en-GB"/>
        </w:rPr>
        <w:t xml:space="preserve"> reference organizations, such as the </w:t>
      </w:r>
      <w:hyperlink r:id="rId130">
        <w:r w:rsidR="00B15343" w:rsidRPr="004F4F68">
          <w:rPr>
            <w:color w:val="7030A0"/>
            <w:u w:val="single"/>
            <w:lang w:val="en-GB"/>
          </w:rPr>
          <w:t>Development Data Hub</w:t>
        </w:r>
      </w:hyperlink>
      <w:r w:rsidRPr="00BF4DFD">
        <w:rPr>
          <w:lang w:val="en-GB"/>
        </w:rPr>
        <w:t xml:space="preserve"> maintained by Development Initiatives or the </w:t>
      </w:r>
      <w:hyperlink r:id="rId131" w:anchor="projects" w:history="1">
        <w:r w:rsidRPr="004F4F68">
          <w:rPr>
            <w:color w:val="7030A0"/>
            <w:u w:val="single"/>
            <w:lang w:val="en-GB"/>
          </w:rPr>
          <w:t>development data projects carried out by the Development Data Lab</w:t>
        </w:r>
      </w:hyperlink>
      <w:r w:rsidRPr="00BF4DFD">
        <w:rPr>
          <w:lang w:val="en-GB"/>
        </w:rPr>
        <w:t>.</w:t>
      </w:r>
    </w:p>
    <w:p w14:paraId="5CAA278E" w14:textId="158DECEB" w:rsidR="00B15343" w:rsidRPr="00B15343" w:rsidRDefault="00B15343" w:rsidP="00731FC7">
      <w:pPr>
        <w:spacing w:after="0"/>
        <w:rPr>
          <w:lang w:val="en-GB"/>
        </w:rPr>
      </w:pPr>
      <w:r w:rsidRPr="00B15343">
        <w:rPr>
          <w:lang w:val="en-GB"/>
        </w:rPr>
        <w:t xml:space="preserve">Finally, we cannot forget what is probably the reference database for the development world today. This is the platform of indicators for the evaluation of </w:t>
      </w:r>
      <w:hyperlink r:id="rId132" w:history="1">
        <w:r w:rsidRPr="004F4F68">
          <w:rPr>
            <w:color w:val="7030A0"/>
            <w:u w:val="single"/>
            <w:lang w:val="en-GB"/>
          </w:rPr>
          <w:t>sustainable development goals</w:t>
        </w:r>
      </w:hyperlink>
      <w:r w:rsidRPr="00B15343">
        <w:rPr>
          <w:lang w:val="en-GB"/>
        </w:rPr>
        <w:t xml:space="preserve"> (SDGs) promoted by the United Nations, as it contains more than one million observations on the international progress towards the achievement of these objectives, which are precisely the ones that will mark the evolution of the global development agenda over the next decade.</w:t>
      </w:r>
    </w:p>
    <w:p w14:paraId="1A9A44E9" w14:textId="17E39D55" w:rsidR="00526D83" w:rsidRPr="00B15343" w:rsidRDefault="00526D83" w:rsidP="00B7528C">
      <w:pPr>
        <w:pStyle w:val="Ttulo3"/>
        <w:numPr>
          <w:ilvl w:val="0"/>
          <w:numId w:val="0"/>
        </w:numPr>
        <w:spacing w:before="240" w:after="0" w:line="360" w:lineRule="auto"/>
        <w:ind w:left="720" w:hanging="720"/>
        <w:rPr>
          <w:lang w:val="en-GB"/>
        </w:rPr>
      </w:pPr>
      <w:bookmarkStart w:id="33" w:name="_Toc30777404"/>
      <w:bookmarkStart w:id="34" w:name="_Toc34134700"/>
      <w:r w:rsidRPr="00B15343">
        <w:rPr>
          <w:lang w:val="en-GB"/>
        </w:rPr>
        <w:t>1.3.3 – D</w:t>
      </w:r>
      <w:bookmarkEnd w:id="33"/>
      <w:r w:rsidR="00B15343" w:rsidRPr="00B15343">
        <w:rPr>
          <w:lang w:val="en-GB"/>
        </w:rPr>
        <w:t>ata for multilateral collaboration</w:t>
      </w:r>
      <w:bookmarkEnd w:id="34"/>
    </w:p>
    <w:p w14:paraId="5A04BA19" w14:textId="0FFBCB22" w:rsidR="00E70ED1" w:rsidRPr="00433274" w:rsidRDefault="00E70ED1" w:rsidP="00731FC7">
      <w:pPr>
        <w:spacing w:after="0"/>
        <w:rPr>
          <w:lang w:val="en-GB"/>
        </w:rPr>
      </w:pPr>
      <w:r w:rsidRPr="00E70ED1">
        <w:rPr>
          <w:lang w:val="en-GB"/>
        </w:rPr>
        <w:t>Multilateral organizations are organizations in which multiple nations generally work collaboratively with the mission of joining forces to tackle the problems of the countries that integrate the</w:t>
      </w:r>
      <w:r>
        <w:rPr>
          <w:lang w:val="en-GB"/>
        </w:rPr>
        <w:t xml:space="preserve"> organization</w:t>
      </w:r>
      <w:r w:rsidRPr="00E70ED1">
        <w:rPr>
          <w:lang w:val="en-GB"/>
        </w:rPr>
        <w:t xml:space="preserve">. Therefore, these types of organizations are very valuable data sources (or even the most valuable) when it comes to having a global perspective on certain specific issues. </w:t>
      </w:r>
      <w:r w:rsidRPr="00433274">
        <w:rPr>
          <w:lang w:val="en-GB"/>
        </w:rPr>
        <w:t>Some of the organizations that may be most useful in this regard are:</w:t>
      </w:r>
    </w:p>
    <w:p w14:paraId="3D10CFF0" w14:textId="0B8BEF09" w:rsidR="00E70ED1" w:rsidRPr="00E70ED1" w:rsidRDefault="00D536BD" w:rsidP="00D536BD">
      <w:pPr>
        <w:pBdr>
          <w:top w:val="nil"/>
          <w:left w:val="nil"/>
          <w:bottom w:val="nil"/>
          <w:right w:val="nil"/>
          <w:between w:val="nil"/>
        </w:pBdr>
        <w:spacing w:after="0"/>
        <w:ind w:left="720"/>
        <w:rPr>
          <w:color w:val="000000"/>
          <w:lang w:val="en-GB"/>
        </w:rPr>
      </w:pPr>
      <w:r w:rsidRPr="00D12687">
        <w:rPr>
          <w:noProof/>
          <w:color w:val="000000"/>
        </w:rPr>
        <w:drawing>
          <wp:anchor distT="0" distB="0" distL="114300" distR="114300" simplePos="0" relativeHeight="251674624" behindDoc="0" locked="0" layoutInCell="1" allowOverlap="1" wp14:anchorId="21556CCC" wp14:editId="0ED35645">
            <wp:simplePos x="0" y="0"/>
            <wp:positionH relativeFrom="column">
              <wp:posOffset>463550</wp:posOffset>
            </wp:positionH>
            <wp:positionV relativeFrom="paragraph">
              <wp:posOffset>153035</wp:posOffset>
            </wp:positionV>
            <wp:extent cx="1924050" cy="398145"/>
            <wp:effectExtent l="0" t="0" r="0" b="1905"/>
            <wp:wrapSquare wrapText="bothSides"/>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3" cstate="print">
                      <a:extLst>
                        <a:ext uri="{28A0092B-C50C-407E-A947-70E740481C1C}">
                          <a14:useLocalDpi xmlns:a14="http://schemas.microsoft.com/office/drawing/2010/main" val="0"/>
                        </a:ext>
                      </a:extLst>
                    </a:blip>
                    <a:stretch>
                      <a:fillRect/>
                    </a:stretch>
                  </pic:blipFill>
                  <pic:spPr>
                    <a:xfrm>
                      <a:off x="0" y="0"/>
                      <a:ext cx="1924050" cy="398145"/>
                    </a:xfrm>
                    <a:prstGeom prst="rect">
                      <a:avLst/>
                    </a:prstGeom>
                  </pic:spPr>
                </pic:pic>
              </a:graphicData>
            </a:graphic>
            <wp14:sizeRelH relativeFrom="page">
              <wp14:pctWidth>0</wp14:pctWidth>
            </wp14:sizeRelH>
            <wp14:sizeRelV relativeFrom="page">
              <wp14:pctHeight>0</wp14:pctHeight>
            </wp14:sizeRelV>
          </wp:anchor>
        </w:drawing>
      </w:r>
      <w:r w:rsidR="00E70ED1" w:rsidRPr="00E70ED1">
        <w:rPr>
          <w:color w:val="000000"/>
          <w:lang w:val="en-GB"/>
        </w:rPr>
        <w:t xml:space="preserve">The </w:t>
      </w:r>
      <w:r w:rsidR="00E70ED1" w:rsidRPr="00E70ED1">
        <w:rPr>
          <w:b/>
          <w:color w:val="000000"/>
          <w:lang w:val="en-GB"/>
        </w:rPr>
        <w:t>World Bank</w:t>
      </w:r>
      <w:r w:rsidR="00E70ED1" w:rsidRPr="00E70ED1">
        <w:rPr>
          <w:color w:val="000000"/>
          <w:lang w:val="en-GB"/>
        </w:rPr>
        <w:t xml:space="preserve"> has built over the years what could be considered </w:t>
      </w:r>
      <w:hyperlink r:id="rId134" w:history="1">
        <w:r w:rsidR="00E70ED1" w:rsidRPr="00433274">
          <w:rPr>
            <w:color w:val="7030A0"/>
            <w:u w:val="single"/>
            <w:lang w:val="en-GB"/>
          </w:rPr>
          <w:t>as one of the most complete and functional global data catalogues that can be found today</w:t>
        </w:r>
      </w:hyperlink>
      <w:r w:rsidR="00E70ED1" w:rsidRPr="00E70ED1">
        <w:rPr>
          <w:color w:val="000000"/>
          <w:lang w:val="en-GB"/>
        </w:rPr>
        <w:t xml:space="preserve"> and that can be explored through </w:t>
      </w:r>
      <w:hyperlink r:id="rId135" w:history="1">
        <w:r w:rsidR="00E70ED1" w:rsidRPr="00433274">
          <w:rPr>
            <w:color w:val="7030A0"/>
            <w:u w:val="single"/>
            <w:lang w:val="en-GB"/>
          </w:rPr>
          <w:t>different variables</w:t>
        </w:r>
      </w:hyperlink>
      <w:r w:rsidR="00E70ED1" w:rsidRPr="00E70ED1">
        <w:rPr>
          <w:color w:val="000000"/>
          <w:lang w:val="en-GB"/>
        </w:rPr>
        <w:t xml:space="preserve">, including </w:t>
      </w:r>
      <w:hyperlink r:id="rId136" w:history="1">
        <w:r w:rsidR="00E70ED1" w:rsidRPr="00433274">
          <w:rPr>
            <w:color w:val="7030A0"/>
            <w:u w:val="single"/>
            <w:lang w:val="en-GB"/>
          </w:rPr>
          <w:t>thematic collections</w:t>
        </w:r>
      </w:hyperlink>
      <w:r w:rsidR="00E70ED1" w:rsidRPr="00E70ED1">
        <w:rPr>
          <w:color w:val="000000"/>
          <w:lang w:val="en-GB"/>
        </w:rPr>
        <w:t xml:space="preserve"> and </w:t>
      </w:r>
      <w:hyperlink r:id="rId137" w:history="1">
        <w:r w:rsidR="00E70ED1" w:rsidRPr="00433274">
          <w:rPr>
            <w:color w:val="7030A0"/>
            <w:u w:val="single"/>
            <w:lang w:val="en-GB"/>
          </w:rPr>
          <w:t>bases of specific data</w:t>
        </w:r>
      </w:hyperlink>
      <w:r w:rsidR="00E70ED1">
        <w:rPr>
          <w:color w:val="000000"/>
          <w:lang w:val="en-GB"/>
        </w:rPr>
        <w:t>. The World Bank</w:t>
      </w:r>
      <w:r w:rsidR="00E70ED1" w:rsidRPr="00E70ED1">
        <w:rPr>
          <w:color w:val="000000"/>
          <w:lang w:val="en-GB"/>
        </w:rPr>
        <w:t xml:space="preserve"> has also developed other widely used tools, such as i</w:t>
      </w:r>
      <w:r w:rsidR="00E70ED1">
        <w:rPr>
          <w:color w:val="000000"/>
          <w:lang w:val="en-GB"/>
        </w:rPr>
        <w:t>t</w:t>
      </w:r>
      <w:r w:rsidR="00E70ED1" w:rsidRPr="00E70ED1">
        <w:rPr>
          <w:color w:val="000000"/>
          <w:lang w:val="en-GB"/>
        </w:rPr>
        <w:t xml:space="preserve">s popular </w:t>
      </w:r>
      <w:hyperlink r:id="rId138" w:history="1">
        <w:r w:rsidR="00E70ED1" w:rsidRPr="00433274">
          <w:rPr>
            <w:color w:val="7030A0"/>
            <w:u w:val="single"/>
            <w:lang w:val="en-GB"/>
          </w:rPr>
          <w:t>catalogue of indicators</w:t>
        </w:r>
      </w:hyperlink>
      <w:r w:rsidR="00E70ED1" w:rsidRPr="00E70ED1">
        <w:rPr>
          <w:color w:val="000000"/>
          <w:lang w:val="en-GB"/>
        </w:rPr>
        <w:t xml:space="preserve">, the </w:t>
      </w:r>
      <w:hyperlink r:id="rId139" w:history="1">
        <w:r w:rsidR="00E70ED1" w:rsidRPr="00433274">
          <w:rPr>
            <w:color w:val="7030A0"/>
            <w:u w:val="single"/>
            <w:lang w:val="en-GB"/>
          </w:rPr>
          <w:t>data bank</w:t>
        </w:r>
      </w:hyperlink>
      <w:r w:rsidR="00E70ED1" w:rsidRPr="00E70ED1">
        <w:rPr>
          <w:color w:val="000000"/>
          <w:lang w:val="en-GB"/>
        </w:rPr>
        <w:t xml:space="preserve"> or the </w:t>
      </w:r>
      <w:hyperlink r:id="rId140" w:history="1">
        <w:r w:rsidR="00E70ED1" w:rsidRPr="00433274">
          <w:rPr>
            <w:color w:val="7030A0"/>
            <w:u w:val="single"/>
            <w:lang w:val="en-GB"/>
          </w:rPr>
          <w:t>microdata archive</w:t>
        </w:r>
      </w:hyperlink>
      <w:r w:rsidR="00E70ED1" w:rsidRPr="00E70ED1">
        <w:rPr>
          <w:color w:val="000000"/>
          <w:lang w:val="en-GB"/>
        </w:rPr>
        <w:t>.</w:t>
      </w:r>
    </w:p>
    <w:p w14:paraId="14E24A5C" w14:textId="0C329507" w:rsidR="00526D83" w:rsidRPr="00E70ED1" w:rsidRDefault="00E70ED1" w:rsidP="00E70ED1">
      <w:pPr>
        <w:pBdr>
          <w:top w:val="nil"/>
          <w:left w:val="nil"/>
          <w:bottom w:val="nil"/>
          <w:right w:val="nil"/>
          <w:between w:val="nil"/>
        </w:pBdr>
        <w:spacing w:after="0"/>
        <w:ind w:left="720"/>
        <w:rPr>
          <w:lang w:val="en-GB"/>
        </w:rPr>
      </w:pPr>
      <w:r w:rsidRPr="00E70ED1">
        <w:rPr>
          <w:color w:val="000000"/>
          <w:lang w:val="en-GB"/>
        </w:rPr>
        <w:t xml:space="preserve">On the other hand, it also has the most complete </w:t>
      </w:r>
      <w:hyperlink r:id="rId141" w:history="1">
        <w:r w:rsidRPr="004F4F68">
          <w:rPr>
            <w:color w:val="7030A0"/>
            <w:u w:val="single"/>
            <w:lang w:val="en-GB"/>
          </w:rPr>
          <w:t>set of tools</w:t>
        </w:r>
      </w:hyperlink>
      <w:r w:rsidRPr="00E70ED1">
        <w:rPr>
          <w:color w:val="000000"/>
          <w:lang w:val="en-GB"/>
        </w:rPr>
        <w:t xml:space="preserve"> so that developers can make better use of the data, as well as their respective documentation </w:t>
      </w:r>
      <w:r w:rsidR="00D536BD" w:rsidRPr="00E70ED1">
        <w:rPr>
          <w:color w:val="000000"/>
          <w:lang w:val="en-GB"/>
        </w:rPr>
        <w:t>catalogue</w:t>
      </w:r>
      <w:r w:rsidRPr="00E70ED1">
        <w:rPr>
          <w:color w:val="000000"/>
          <w:lang w:val="en-GB"/>
        </w:rPr>
        <w:t>.</w:t>
      </w:r>
    </w:p>
    <w:p w14:paraId="6A9348E6" w14:textId="156113D4" w:rsidR="00D536BD" w:rsidRPr="00D536BD" w:rsidRDefault="00770B63" w:rsidP="00D536BD">
      <w:pPr>
        <w:pBdr>
          <w:top w:val="nil"/>
          <w:left w:val="nil"/>
          <w:bottom w:val="nil"/>
          <w:right w:val="nil"/>
          <w:between w:val="nil"/>
        </w:pBdr>
        <w:spacing w:after="0"/>
        <w:ind w:left="720"/>
        <w:rPr>
          <w:lang w:val="en-GB"/>
        </w:rPr>
      </w:pPr>
      <w:r w:rsidRPr="00770B63">
        <w:rPr>
          <w:noProof/>
          <w:color w:val="000000"/>
        </w:rPr>
        <w:lastRenderedPageBreak/>
        <w:drawing>
          <wp:anchor distT="0" distB="0" distL="114300" distR="114300" simplePos="0" relativeHeight="251675648" behindDoc="0" locked="0" layoutInCell="1" allowOverlap="1" wp14:anchorId="43862E49" wp14:editId="32D49C51">
            <wp:simplePos x="0" y="0"/>
            <wp:positionH relativeFrom="column">
              <wp:posOffset>460375</wp:posOffset>
            </wp:positionH>
            <wp:positionV relativeFrom="paragraph">
              <wp:posOffset>114935</wp:posOffset>
            </wp:positionV>
            <wp:extent cx="879475" cy="733425"/>
            <wp:effectExtent l="0" t="0" r="0" b="9525"/>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cstate="print">
                      <a:extLst>
                        <a:ext uri="{28A0092B-C50C-407E-A947-70E740481C1C}">
                          <a14:useLocalDpi xmlns:a14="http://schemas.microsoft.com/office/drawing/2010/main" val="0"/>
                        </a:ext>
                      </a:extLst>
                    </a:blip>
                    <a:stretch>
                      <a:fillRect/>
                    </a:stretch>
                  </pic:blipFill>
                  <pic:spPr>
                    <a:xfrm>
                      <a:off x="0" y="0"/>
                      <a:ext cx="879475" cy="733425"/>
                    </a:xfrm>
                    <a:prstGeom prst="rect">
                      <a:avLst/>
                    </a:prstGeom>
                  </pic:spPr>
                </pic:pic>
              </a:graphicData>
            </a:graphic>
            <wp14:sizeRelH relativeFrom="page">
              <wp14:pctWidth>0</wp14:pctWidth>
            </wp14:sizeRelH>
            <wp14:sizeRelV relativeFrom="page">
              <wp14:pctHeight>0</wp14:pctHeight>
            </wp14:sizeRelV>
          </wp:anchor>
        </w:drawing>
      </w:r>
      <w:r w:rsidR="00D536BD" w:rsidRPr="00D536BD">
        <w:rPr>
          <w:lang w:val="en-GB"/>
        </w:rPr>
        <w:t xml:space="preserve">The </w:t>
      </w:r>
      <w:r w:rsidR="00D536BD" w:rsidRPr="00D536BD">
        <w:rPr>
          <w:b/>
          <w:lang w:val="en-GB"/>
        </w:rPr>
        <w:t>United Nations Organization</w:t>
      </w:r>
      <w:r w:rsidR="00D536BD" w:rsidRPr="00D536BD">
        <w:rPr>
          <w:lang w:val="en-GB"/>
        </w:rPr>
        <w:t xml:space="preserve"> (UN) provides us access to 32 databases with a total of more than 60 million records through its online catalogue, also including data </w:t>
      </w:r>
      <w:r w:rsidR="00A145F3">
        <w:rPr>
          <w:lang w:val="en-GB"/>
        </w:rPr>
        <w:t>by</w:t>
      </w:r>
      <w:r w:rsidR="00D536BD" w:rsidRPr="00D536BD">
        <w:rPr>
          <w:lang w:val="en-GB"/>
        </w:rPr>
        <w:t xml:space="preserve"> many of its partner organizations such as the International Telecommunications Union (ITU), the World Meteorological Organization (WMO), the International Labour Organization (ILO) or the World Tourism Organization (UNWTO). All these data can also be accessed through a fully documented </w:t>
      </w:r>
      <w:hyperlink r:id="rId143" w:history="1">
        <w:r w:rsidR="00D536BD" w:rsidRPr="00433274">
          <w:rPr>
            <w:color w:val="7030A0"/>
            <w:u w:val="single"/>
            <w:lang w:val="en-GB"/>
          </w:rPr>
          <w:t>application program</w:t>
        </w:r>
        <w:r w:rsidR="00D21BC0" w:rsidRPr="00433274">
          <w:rPr>
            <w:color w:val="7030A0"/>
            <w:u w:val="single"/>
            <w:lang w:val="en-GB"/>
          </w:rPr>
          <w:t>ming</w:t>
        </w:r>
        <w:r w:rsidR="00D536BD" w:rsidRPr="00433274">
          <w:rPr>
            <w:color w:val="7030A0"/>
            <w:u w:val="single"/>
            <w:lang w:val="en-GB"/>
          </w:rPr>
          <w:t xml:space="preserve"> interface</w:t>
        </w:r>
      </w:hyperlink>
      <w:r w:rsidR="00D536BD" w:rsidRPr="00D536BD">
        <w:rPr>
          <w:lang w:val="en-GB"/>
        </w:rPr>
        <w:t xml:space="preserve"> (API) that uses the SDMX standard for data </w:t>
      </w:r>
      <w:r w:rsidR="00A145F3" w:rsidRPr="00D536BD">
        <w:rPr>
          <w:lang w:val="en-GB"/>
        </w:rPr>
        <w:t>modelling</w:t>
      </w:r>
      <w:r w:rsidR="00D536BD" w:rsidRPr="00D536BD">
        <w:rPr>
          <w:lang w:val="en-GB"/>
        </w:rPr>
        <w:t>.</w:t>
      </w:r>
    </w:p>
    <w:p w14:paraId="6D29582A" w14:textId="7C6C7033" w:rsidR="00D536BD" w:rsidRPr="00D536BD" w:rsidRDefault="00D536BD" w:rsidP="00D536BD">
      <w:pPr>
        <w:pBdr>
          <w:top w:val="nil"/>
          <w:left w:val="nil"/>
          <w:bottom w:val="nil"/>
          <w:right w:val="nil"/>
          <w:between w:val="nil"/>
        </w:pBdr>
        <w:spacing w:after="0"/>
        <w:ind w:left="720"/>
        <w:rPr>
          <w:lang w:val="en-GB"/>
        </w:rPr>
      </w:pPr>
      <w:r>
        <w:rPr>
          <w:lang w:val="en-GB"/>
        </w:rPr>
        <w:t>UN</w:t>
      </w:r>
      <w:r w:rsidRPr="00D536BD">
        <w:rPr>
          <w:lang w:val="en-GB"/>
        </w:rPr>
        <w:t xml:space="preserve"> also has </w:t>
      </w:r>
      <w:r>
        <w:rPr>
          <w:lang w:val="en-GB"/>
        </w:rPr>
        <w:t>a</w:t>
      </w:r>
      <w:r w:rsidRPr="00D536BD">
        <w:rPr>
          <w:lang w:val="en-GB"/>
        </w:rPr>
        <w:t xml:space="preserve"> </w:t>
      </w:r>
      <w:hyperlink r:id="rId144" w:history="1">
        <w:r w:rsidRPr="007F7A24">
          <w:rPr>
            <w:color w:val="7030A0"/>
            <w:u w:val="single"/>
            <w:lang w:val="en-GB"/>
          </w:rPr>
          <w:t>databases</w:t>
        </w:r>
      </w:hyperlink>
      <w:r w:rsidRPr="00D536BD">
        <w:rPr>
          <w:lang w:val="en-GB"/>
        </w:rPr>
        <w:t xml:space="preserve"> of its statistical division and multiple </w:t>
      </w:r>
      <w:hyperlink r:id="rId145" w:history="1">
        <w:r w:rsidRPr="007F7A24">
          <w:rPr>
            <w:color w:val="7030A0"/>
            <w:u w:val="single"/>
            <w:lang w:val="en-GB"/>
          </w:rPr>
          <w:t>indicators</w:t>
        </w:r>
      </w:hyperlink>
      <w:r w:rsidRPr="00D536BD">
        <w:rPr>
          <w:lang w:val="en-GB"/>
        </w:rPr>
        <w:t xml:space="preserve"> with data on the internal management of the agency itself.</w:t>
      </w:r>
    </w:p>
    <w:p w14:paraId="4F78FD37" w14:textId="4A477451" w:rsidR="00D536BD" w:rsidRPr="00D536BD" w:rsidRDefault="00D21BC0" w:rsidP="00D536BD">
      <w:pPr>
        <w:pBdr>
          <w:top w:val="nil"/>
          <w:left w:val="nil"/>
          <w:bottom w:val="nil"/>
          <w:right w:val="nil"/>
          <w:between w:val="nil"/>
        </w:pBdr>
        <w:spacing w:after="0"/>
        <w:ind w:left="720"/>
        <w:rPr>
          <w:color w:val="000000"/>
          <w:lang w:val="en-GB"/>
        </w:rPr>
      </w:pPr>
      <w:r w:rsidRPr="00770B63">
        <w:rPr>
          <w:noProof/>
          <w:color w:val="000000"/>
        </w:rPr>
        <w:drawing>
          <wp:anchor distT="0" distB="0" distL="114300" distR="114300" simplePos="0" relativeHeight="251676672" behindDoc="0" locked="0" layoutInCell="1" allowOverlap="1" wp14:anchorId="7DCB12BF" wp14:editId="4D3A9BA9">
            <wp:simplePos x="0" y="0"/>
            <wp:positionH relativeFrom="column">
              <wp:posOffset>443865</wp:posOffset>
            </wp:positionH>
            <wp:positionV relativeFrom="paragraph">
              <wp:posOffset>175260</wp:posOffset>
            </wp:positionV>
            <wp:extent cx="1563370" cy="478155"/>
            <wp:effectExtent l="0" t="0" r="0" b="0"/>
            <wp:wrapSquare wrapText="bothSides"/>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6" cstate="print">
                      <a:extLst>
                        <a:ext uri="{28A0092B-C50C-407E-A947-70E740481C1C}">
                          <a14:useLocalDpi xmlns:a14="http://schemas.microsoft.com/office/drawing/2010/main" val="0"/>
                        </a:ext>
                      </a:extLst>
                    </a:blip>
                    <a:stretch>
                      <a:fillRect/>
                    </a:stretch>
                  </pic:blipFill>
                  <pic:spPr>
                    <a:xfrm>
                      <a:off x="0" y="0"/>
                      <a:ext cx="1563370" cy="478155"/>
                    </a:xfrm>
                    <a:prstGeom prst="rect">
                      <a:avLst/>
                    </a:prstGeom>
                  </pic:spPr>
                </pic:pic>
              </a:graphicData>
            </a:graphic>
            <wp14:sizeRelH relativeFrom="page">
              <wp14:pctWidth>0</wp14:pctWidth>
            </wp14:sizeRelH>
            <wp14:sizeRelV relativeFrom="page">
              <wp14:pctHeight>0</wp14:pctHeight>
            </wp14:sizeRelV>
          </wp:anchor>
        </w:drawing>
      </w:r>
      <w:r w:rsidR="00D536BD" w:rsidRPr="00D536BD">
        <w:rPr>
          <w:color w:val="000000"/>
          <w:lang w:val="en-GB"/>
        </w:rPr>
        <w:t xml:space="preserve">The </w:t>
      </w:r>
      <w:r w:rsidR="00D536BD" w:rsidRPr="00D536BD">
        <w:rPr>
          <w:b/>
          <w:color w:val="000000"/>
          <w:lang w:val="en-GB"/>
        </w:rPr>
        <w:t>World Health Organization</w:t>
      </w:r>
      <w:r w:rsidR="00D536BD" w:rsidRPr="00D536BD">
        <w:rPr>
          <w:color w:val="000000"/>
          <w:lang w:val="en-GB"/>
        </w:rPr>
        <w:t xml:space="preserve"> (WHO) offers us its </w:t>
      </w:r>
      <w:hyperlink r:id="rId147" w:history="1">
        <w:r w:rsidRPr="00A145F3">
          <w:rPr>
            <w:color w:val="7030A0"/>
            <w:u w:val="single"/>
            <w:lang w:val="en-GB"/>
          </w:rPr>
          <w:t>Global</w:t>
        </w:r>
        <w:r w:rsidR="00D536BD" w:rsidRPr="00A145F3">
          <w:rPr>
            <w:color w:val="7030A0"/>
            <w:u w:val="single"/>
            <w:lang w:val="en-GB"/>
          </w:rPr>
          <w:t xml:space="preserve"> Health Observatory</w:t>
        </w:r>
      </w:hyperlink>
      <w:r w:rsidR="00D536BD" w:rsidRPr="00D536BD">
        <w:rPr>
          <w:color w:val="000000"/>
          <w:lang w:val="en-GB"/>
        </w:rPr>
        <w:t xml:space="preserve"> as a gateway to the main global statistics and indicators related to health. Thus, we can explore its databases through </w:t>
      </w:r>
      <w:hyperlink r:id="rId148" w:history="1">
        <w:r w:rsidR="00D536BD" w:rsidRPr="00A145F3">
          <w:rPr>
            <w:color w:val="7030A0"/>
            <w:u w:val="single"/>
            <w:lang w:val="en-GB"/>
          </w:rPr>
          <w:t>different health-related topics</w:t>
        </w:r>
      </w:hyperlink>
      <w:r w:rsidR="00D536BD" w:rsidRPr="00A145F3">
        <w:rPr>
          <w:color w:val="000000"/>
          <w:lang w:val="en-GB"/>
        </w:rPr>
        <w:t xml:space="preserve">, </w:t>
      </w:r>
      <w:r w:rsidR="00D536BD" w:rsidRPr="00D536BD">
        <w:rPr>
          <w:color w:val="000000"/>
          <w:lang w:val="en-GB"/>
        </w:rPr>
        <w:t xml:space="preserve">looking for </w:t>
      </w:r>
      <w:hyperlink r:id="rId149" w:history="1">
        <w:r w:rsidR="00D536BD" w:rsidRPr="00A145F3">
          <w:rPr>
            <w:color w:val="7030A0"/>
            <w:u w:val="single"/>
            <w:lang w:val="en-GB"/>
          </w:rPr>
          <w:t>specific indicators</w:t>
        </w:r>
      </w:hyperlink>
      <w:r w:rsidR="00D536BD" w:rsidRPr="00D536BD">
        <w:rPr>
          <w:color w:val="000000"/>
          <w:lang w:val="en-GB"/>
        </w:rPr>
        <w:t xml:space="preserve"> or focusing on </w:t>
      </w:r>
      <w:hyperlink r:id="rId150" w:history="1">
        <w:r w:rsidR="00D536BD" w:rsidRPr="00A145F3">
          <w:rPr>
            <w:color w:val="7030A0"/>
            <w:u w:val="single"/>
            <w:lang w:val="en-GB"/>
          </w:rPr>
          <w:t>a specific country</w:t>
        </w:r>
      </w:hyperlink>
      <w:r w:rsidR="00D536BD" w:rsidRPr="00D536BD">
        <w:rPr>
          <w:color w:val="000000"/>
          <w:lang w:val="en-GB"/>
        </w:rPr>
        <w:t xml:space="preserve">. </w:t>
      </w:r>
      <w:r w:rsidR="00A145F3">
        <w:rPr>
          <w:color w:val="000000"/>
          <w:lang w:val="en-GB"/>
        </w:rPr>
        <w:t>It</w:t>
      </w:r>
      <w:r w:rsidR="00D536BD" w:rsidRPr="00D536BD">
        <w:rPr>
          <w:color w:val="000000"/>
          <w:lang w:val="en-GB"/>
        </w:rPr>
        <w:t xml:space="preserve"> also ha</w:t>
      </w:r>
      <w:r w:rsidR="00A145F3">
        <w:rPr>
          <w:color w:val="000000"/>
          <w:lang w:val="en-GB"/>
        </w:rPr>
        <w:t>s</w:t>
      </w:r>
      <w:r w:rsidR="00D536BD" w:rsidRPr="00D536BD">
        <w:rPr>
          <w:color w:val="000000"/>
          <w:lang w:val="en-GB"/>
        </w:rPr>
        <w:t xml:space="preserve"> an </w:t>
      </w:r>
      <w:hyperlink r:id="rId151" w:history="1">
        <w:r w:rsidRPr="00A145F3">
          <w:rPr>
            <w:color w:val="7030A0"/>
            <w:u w:val="single"/>
            <w:lang w:val="en-GB"/>
          </w:rPr>
          <w:t>application programming interfaces</w:t>
        </w:r>
      </w:hyperlink>
      <w:r w:rsidRPr="00D536BD">
        <w:rPr>
          <w:color w:val="000000"/>
          <w:lang w:val="en-GB"/>
        </w:rPr>
        <w:t xml:space="preserve"> </w:t>
      </w:r>
      <w:r w:rsidR="00D536BD" w:rsidRPr="00D536BD">
        <w:rPr>
          <w:color w:val="000000"/>
          <w:lang w:val="en-GB"/>
        </w:rPr>
        <w:t>(API) to facilitate reuse.</w:t>
      </w:r>
    </w:p>
    <w:p w14:paraId="299A2111" w14:textId="0378EA15" w:rsidR="00D536BD" w:rsidRPr="00D536BD" w:rsidRDefault="00D536BD" w:rsidP="00D536BD">
      <w:pPr>
        <w:pBdr>
          <w:top w:val="nil"/>
          <w:left w:val="nil"/>
          <w:bottom w:val="nil"/>
          <w:right w:val="nil"/>
          <w:between w:val="nil"/>
        </w:pBdr>
        <w:spacing w:after="0"/>
        <w:ind w:left="720"/>
        <w:rPr>
          <w:color w:val="000000"/>
          <w:lang w:val="en-GB"/>
        </w:rPr>
      </w:pPr>
      <w:r w:rsidRPr="00D536BD">
        <w:rPr>
          <w:color w:val="000000"/>
          <w:lang w:val="en-GB"/>
        </w:rPr>
        <w:t>On the other hand, we will also have access to</w:t>
      </w:r>
      <w:r w:rsidRPr="00A145F3">
        <w:rPr>
          <w:color w:val="7030A0"/>
          <w:lang w:val="en-GB"/>
        </w:rPr>
        <w:t xml:space="preserve"> </w:t>
      </w:r>
      <w:hyperlink r:id="rId152" w:history="1">
        <w:r w:rsidRPr="00A145F3">
          <w:rPr>
            <w:color w:val="7030A0"/>
            <w:u w:val="single"/>
            <w:lang w:val="en-GB"/>
          </w:rPr>
          <w:t>multiple reports</w:t>
        </w:r>
      </w:hyperlink>
      <w:r w:rsidRPr="00D536BD">
        <w:rPr>
          <w:color w:val="000000"/>
          <w:lang w:val="en-GB"/>
        </w:rPr>
        <w:t xml:space="preserve"> through which data </w:t>
      </w:r>
      <w:r w:rsidR="00A145F3">
        <w:rPr>
          <w:color w:val="000000"/>
          <w:lang w:val="en-GB"/>
        </w:rPr>
        <w:t>are</w:t>
      </w:r>
      <w:r w:rsidRPr="00D536BD">
        <w:rPr>
          <w:color w:val="000000"/>
          <w:lang w:val="en-GB"/>
        </w:rPr>
        <w:t xml:space="preserve"> broken down and the conclusions are </w:t>
      </w:r>
      <w:r w:rsidR="00D21BC0" w:rsidRPr="00D536BD">
        <w:rPr>
          <w:color w:val="000000"/>
          <w:lang w:val="en-GB"/>
        </w:rPr>
        <w:t>analysed</w:t>
      </w:r>
      <w:r w:rsidRPr="00D536BD">
        <w:rPr>
          <w:color w:val="000000"/>
          <w:lang w:val="en-GB"/>
        </w:rPr>
        <w:t>.</w:t>
      </w:r>
    </w:p>
    <w:p w14:paraId="2D8F84E0" w14:textId="10A029DE" w:rsidR="00447F13" w:rsidRPr="00447F13" w:rsidRDefault="00205D77" w:rsidP="00770B63">
      <w:pPr>
        <w:pBdr>
          <w:top w:val="nil"/>
          <w:left w:val="nil"/>
          <w:bottom w:val="nil"/>
          <w:right w:val="nil"/>
          <w:between w:val="nil"/>
        </w:pBdr>
        <w:spacing w:after="0"/>
        <w:ind w:left="720"/>
        <w:rPr>
          <w:color w:val="000000"/>
          <w:lang w:val="en-GB"/>
        </w:rPr>
      </w:pPr>
      <w:r w:rsidRPr="00770B63">
        <w:rPr>
          <w:noProof/>
          <w:color w:val="000000"/>
        </w:rPr>
        <w:drawing>
          <wp:anchor distT="0" distB="0" distL="114300" distR="114300" simplePos="0" relativeHeight="251677696" behindDoc="0" locked="0" layoutInCell="1" allowOverlap="1" wp14:anchorId="305955E6" wp14:editId="50F6C1C5">
            <wp:simplePos x="0" y="0"/>
            <wp:positionH relativeFrom="column">
              <wp:posOffset>452755</wp:posOffset>
            </wp:positionH>
            <wp:positionV relativeFrom="paragraph">
              <wp:posOffset>182880</wp:posOffset>
            </wp:positionV>
            <wp:extent cx="1671955" cy="393065"/>
            <wp:effectExtent l="0" t="0" r="4445" b="635"/>
            <wp:wrapSquare wrapText="bothSides"/>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3">
                      <a:extLst>
                        <a:ext uri="{28A0092B-C50C-407E-A947-70E740481C1C}">
                          <a14:useLocalDpi xmlns:a14="http://schemas.microsoft.com/office/drawing/2010/main" val="0"/>
                        </a:ext>
                      </a:extLst>
                    </a:blip>
                    <a:stretch>
                      <a:fillRect/>
                    </a:stretch>
                  </pic:blipFill>
                  <pic:spPr>
                    <a:xfrm>
                      <a:off x="0" y="0"/>
                      <a:ext cx="1671955" cy="393065"/>
                    </a:xfrm>
                    <a:prstGeom prst="rect">
                      <a:avLst/>
                    </a:prstGeom>
                  </pic:spPr>
                </pic:pic>
              </a:graphicData>
            </a:graphic>
            <wp14:sizeRelH relativeFrom="page">
              <wp14:pctWidth>0</wp14:pctWidth>
            </wp14:sizeRelH>
            <wp14:sizeRelV relativeFrom="page">
              <wp14:pctHeight>0</wp14:pctHeight>
            </wp14:sizeRelV>
          </wp:anchor>
        </w:drawing>
      </w:r>
      <w:r w:rsidR="00447F13" w:rsidRPr="00447F13">
        <w:rPr>
          <w:color w:val="000000"/>
          <w:lang w:val="en-GB"/>
        </w:rPr>
        <w:t xml:space="preserve">The </w:t>
      </w:r>
      <w:r w:rsidR="00447F13" w:rsidRPr="00205D77">
        <w:rPr>
          <w:b/>
          <w:color w:val="000000"/>
          <w:lang w:val="en-GB"/>
        </w:rPr>
        <w:t xml:space="preserve">Organization for Economic Cooperation and </w:t>
      </w:r>
      <w:r w:rsidR="00447F13" w:rsidRPr="00A145F3">
        <w:rPr>
          <w:b/>
          <w:color w:val="000000"/>
          <w:lang w:val="en-GB"/>
        </w:rPr>
        <w:t>Development</w:t>
      </w:r>
      <w:r w:rsidR="00447F13" w:rsidRPr="00447F13">
        <w:rPr>
          <w:color w:val="000000"/>
          <w:lang w:val="en-GB"/>
        </w:rPr>
        <w:t xml:space="preserve"> (OECD) has </w:t>
      </w:r>
      <w:hyperlink r:id="rId154" w:history="1">
        <w:r w:rsidR="00447F13" w:rsidRPr="00A145F3">
          <w:rPr>
            <w:color w:val="7030A0"/>
            <w:u w:val="single"/>
            <w:lang w:val="en-GB"/>
          </w:rPr>
          <w:t>more than 800 database</w:t>
        </w:r>
        <w:r w:rsidR="00A145F3">
          <w:rPr>
            <w:color w:val="7030A0"/>
            <w:u w:val="single"/>
            <w:lang w:val="en-GB"/>
          </w:rPr>
          <w:t>s in its online catalogue</w:t>
        </w:r>
      </w:hyperlink>
      <w:r w:rsidR="00A145F3">
        <w:rPr>
          <w:color w:val="000000"/>
          <w:lang w:val="en-GB"/>
        </w:rPr>
        <w:t xml:space="preserve">, </w:t>
      </w:r>
      <w:r w:rsidR="00447F13" w:rsidRPr="00447F13">
        <w:rPr>
          <w:color w:val="000000"/>
          <w:lang w:val="en-GB"/>
        </w:rPr>
        <w:t xml:space="preserve">covering topics as varied as </w:t>
      </w:r>
      <w:r w:rsidR="00447F13" w:rsidRPr="00205D77">
        <w:rPr>
          <w:i/>
          <w:color w:val="000000"/>
          <w:lang w:val="en-GB"/>
        </w:rPr>
        <w:t xml:space="preserve">agriculture, development, economy, education, energy, environment, finance, health </w:t>
      </w:r>
      <w:r w:rsidR="00447F13" w:rsidRPr="00A145F3">
        <w:rPr>
          <w:color w:val="000000"/>
          <w:lang w:val="en-GB"/>
        </w:rPr>
        <w:t>or</w:t>
      </w:r>
      <w:r w:rsidR="00447F13" w:rsidRPr="00205D77">
        <w:rPr>
          <w:i/>
          <w:color w:val="000000"/>
          <w:lang w:val="en-GB"/>
        </w:rPr>
        <w:t xml:space="preserve"> technology</w:t>
      </w:r>
      <w:r w:rsidR="00447F13" w:rsidRPr="00447F13">
        <w:rPr>
          <w:color w:val="000000"/>
          <w:lang w:val="en-GB"/>
        </w:rPr>
        <w:t xml:space="preserve">. In addition, </w:t>
      </w:r>
      <w:hyperlink r:id="rId155" w:history="1">
        <w:r w:rsidR="00447F13" w:rsidRPr="00A145F3">
          <w:rPr>
            <w:color w:val="7030A0"/>
            <w:u w:val="single"/>
            <w:lang w:val="en-GB"/>
          </w:rPr>
          <w:t>a quarter of them also offer access</w:t>
        </w:r>
      </w:hyperlink>
      <w:r w:rsidR="00447F13" w:rsidRPr="00447F13">
        <w:rPr>
          <w:color w:val="000000"/>
          <w:lang w:val="en-GB"/>
        </w:rPr>
        <w:t xml:space="preserve"> through fully </w:t>
      </w:r>
      <w:hyperlink r:id="rId156" w:history="1">
        <w:r w:rsidR="00447F13" w:rsidRPr="00A145F3">
          <w:rPr>
            <w:color w:val="7030A0"/>
            <w:u w:val="single"/>
            <w:lang w:val="en-GB"/>
          </w:rPr>
          <w:t>documented</w:t>
        </w:r>
      </w:hyperlink>
      <w:r w:rsidR="00447F13" w:rsidRPr="00447F13">
        <w:rPr>
          <w:color w:val="000000"/>
          <w:lang w:val="en-GB"/>
        </w:rPr>
        <w:t xml:space="preserve"> programming interfaces (APIs) that facilitate automated consultation by programmers.</w:t>
      </w:r>
    </w:p>
    <w:p w14:paraId="0E2488A9" w14:textId="2AA2C236" w:rsidR="00205D77" w:rsidRPr="00205D77" w:rsidRDefault="00D10293" w:rsidP="00731FC7">
      <w:pPr>
        <w:spacing w:after="0"/>
        <w:ind w:left="709"/>
        <w:rPr>
          <w:color w:val="000000"/>
          <w:lang w:val="en-GB"/>
        </w:rPr>
      </w:pPr>
      <w:r>
        <w:rPr>
          <w:color w:val="000000"/>
          <w:lang w:val="en-GB"/>
        </w:rPr>
        <w:t>I</w:t>
      </w:r>
      <w:r w:rsidR="00205D77" w:rsidRPr="00205D77">
        <w:rPr>
          <w:color w:val="000000"/>
          <w:lang w:val="en-GB"/>
        </w:rPr>
        <w:t xml:space="preserve">t should be noted its complete </w:t>
      </w:r>
      <w:hyperlink r:id="rId157" w:history="1">
        <w:r w:rsidR="00205D77" w:rsidRPr="00A145F3">
          <w:rPr>
            <w:color w:val="7030A0"/>
            <w:u w:val="single"/>
            <w:lang w:val="en-GB"/>
          </w:rPr>
          <w:t>statistics search engine</w:t>
        </w:r>
      </w:hyperlink>
      <w:r w:rsidR="00205D77" w:rsidRPr="00205D77">
        <w:rPr>
          <w:color w:val="000000"/>
          <w:lang w:val="en-GB"/>
        </w:rPr>
        <w:t xml:space="preserve">, which also offers us </w:t>
      </w:r>
      <w:hyperlink r:id="rId158" w:history="1">
        <w:r w:rsidR="00205D77" w:rsidRPr="00D10293">
          <w:rPr>
            <w:color w:val="7030A0"/>
            <w:u w:val="single"/>
            <w:lang w:val="en-GB"/>
          </w:rPr>
          <w:t>a complete documentation on how they are made</w:t>
        </w:r>
      </w:hyperlink>
      <w:r>
        <w:rPr>
          <w:color w:val="000000"/>
          <w:lang w:val="en-GB"/>
        </w:rPr>
        <w:t>, i</w:t>
      </w:r>
      <w:r w:rsidR="00205D77" w:rsidRPr="00205D77">
        <w:rPr>
          <w:color w:val="000000"/>
          <w:lang w:val="en-GB"/>
        </w:rPr>
        <w:t xml:space="preserve">n addition to other useful add-ons such as visualizations or </w:t>
      </w:r>
      <w:hyperlink r:id="rId159" w:history="1">
        <w:r w:rsidR="00205D77" w:rsidRPr="00D10293">
          <w:rPr>
            <w:color w:val="7030A0"/>
            <w:u w:val="single"/>
            <w:lang w:val="en-GB"/>
          </w:rPr>
          <w:t>comparison tools</w:t>
        </w:r>
      </w:hyperlink>
      <w:r w:rsidR="00205D77" w:rsidRPr="00205D77">
        <w:rPr>
          <w:color w:val="000000"/>
          <w:lang w:val="en-GB"/>
        </w:rPr>
        <w:t>.</w:t>
      </w:r>
    </w:p>
    <w:p w14:paraId="2855D98F" w14:textId="13B4B03E" w:rsidR="00205D77" w:rsidRPr="00205D77" w:rsidRDefault="00770B63" w:rsidP="00205D77">
      <w:pPr>
        <w:pBdr>
          <w:top w:val="nil"/>
          <w:left w:val="nil"/>
          <w:bottom w:val="nil"/>
          <w:right w:val="nil"/>
          <w:between w:val="nil"/>
        </w:pBdr>
        <w:spacing w:after="0"/>
        <w:ind w:left="720"/>
        <w:rPr>
          <w:color w:val="000000"/>
          <w:lang w:val="en-GB"/>
        </w:rPr>
      </w:pPr>
      <w:r w:rsidRPr="00770B63">
        <w:rPr>
          <w:noProof/>
          <w:color w:val="000000"/>
        </w:rPr>
        <w:lastRenderedPageBreak/>
        <w:drawing>
          <wp:anchor distT="0" distB="0" distL="114300" distR="114300" simplePos="0" relativeHeight="251678720" behindDoc="0" locked="0" layoutInCell="1" allowOverlap="1" wp14:anchorId="775873C8" wp14:editId="48F387AE">
            <wp:simplePos x="0" y="0"/>
            <wp:positionH relativeFrom="column">
              <wp:posOffset>471805</wp:posOffset>
            </wp:positionH>
            <wp:positionV relativeFrom="paragraph">
              <wp:posOffset>152400</wp:posOffset>
            </wp:positionV>
            <wp:extent cx="841375" cy="873760"/>
            <wp:effectExtent l="0" t="0" r="0" b="2540"/>
            <wp:wrapSquare wrapText="bothSides"/>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0" cstate="print">
                      <a:extLst>
                        <a:ext uri="{28A0092B-C50C-407E-A947-70E740481C1C}">
                          <a14:useLocalDpi xmlns:a14="http://schemas.microsoft.com/office/drawing/2010/main" val="0"/>
                        </a:ext>
                      </a:extLst>
                    </a:blip>
                    <a:stretch>
                      <a:fillRect/>
                    </a:stretch>
                  </pic:blipFill>
                  <pic:spPr>
                    <a:xfrm>
                      <a:off x="0" y="0"/>
                      <a:ext cx="841375" cy="873760"/>
                    </a:xfrm>
                    <a:prstGeom prst="rect">
                      <a:avLst/>
                    </a:prstGeom>
                  </pic:spPr>
                </pic:pic>
              </a:graphicData>
            </a:graphic>
            <wp14:sizeRelH relativeFrom="page">
              <wp14:pctWidth>0</wp14:pctWidth>
            </wp14:sizeRelH>
            <wp14:sizeRelV relativeFrom="page">
              <wp14:pctHeight>0</wp14:pctHeight>
            </wp14:sizeRelV>
          </wp:anchor>
        </w:drawing>
      </w:r>
      <w:r w:rsidR="00205D77" w:rsidRPr="00205D77">
        <w:rPr>
          <w:color w:val="000000"/>
          <w:lang w:val="en-GB"/>
        </w:rPr>
        <w:t xml:space="preserve">The </w:t>
      </w:r>
      <w:r w:rsidR="00205D77" w:rsidRPr="00205D77">
        <w:rPr>
          <w:b/>
          <w:color w:val="000000"/>
          <w:lang w:val="en-GB"/>
        </w:rPr>
        <w:t>International Monetary Fund</w:t>
      </w:r>
      <w:r w:rsidR="00205D77" w:rsidRPr="00205D77">
        <w:rPr>
          <w:color w:val="000000"/>
          <w:lang w:val="en-GB"/>
        </w:rPr>
        <w:t xml:space="preserve"> (IMF) publishes a complete series of </w:t>
      </w:r>
      <w:hyperlink r:id="rId161" w:anchor="global" w:history="1">
        <w:r w:rsidR="00205D77" w:rsidRPr="00D10293">
          <w:rPr>
            <w:color w:val="7030A0"/>
            <w:u w:val="single"/>
            <w:lang w:val="en-GB"/>
          </w:rPr>
          <w:t>global economic data</w:t>
        </w:r>
      </w:hyperlink>
      <w:r w:rsidR="00205D77" w:rsidRPr="00205D77">
        <w:rPr>
          <w:color w:val="000000"/>
          <w:lang w:val="en-GB"/>
        </w:rPr>
        <w:t xml:space="preserve">, as well as detailed data on </w:t>
      </w:r>
      <w:hyperlink r:id="rId162" w:anchor="exchange" w:history="1">
        <w:r w:rsidR="00205D77" w:rsidRPr="00D10293">
          <w:rPr>
            <w:color w:val="7030A0"/>
            <w:u w:val="single"/>
            <w:lang w:val="en-GB"/>
          </w:rPr>
          <w:t>exchange rates</w:t>
        </w:r>
      </w:hyperlink>
      <w:r w:rsidR="00205D77" w:rsidRPr="00205D77">
        <w:rPr>
          <w:color w:val="000000"/>
          <w:lang w:val="en-GB"/>
        </w:rPr>
        <w:t xml:space="preserve"> and other </w:t>
      </w:r>
      <w:hyperlink r:id="rId163" w:anchor="imffinancial" w:history="1">
        <w:r w:rsidR="00205D77" w:rsidRPr="00D10293">
          <w:rPr>
            <w:color w:val="7030A0"/>
            <w:u w:val="single"/>
            <w:lang w:val="en-GB"/>
          </w:rPr>
          <w:t>economic and financial indicators</w:t>
        </w:r>
      </w:hyperlink>
      <w:r w:rsidR="00205D77" w:rsidRPr="00205D77">
        <w:rPr>
          <w:color w:val="000000"/>
          <w:lang w:val="en-GB"/>
        </w:rPr>
        <w:t xml:space="preserve">. It also provides </w:t>
      </w:r>
      <w:hyperlink r:id="rId164" w:anchor="manuals" w:history="1">
        <w:r w:rsidR="00205D77" w:rsidRPr="00D10293">
          <w:rPr>
            <w:color w:val="7030A0"/>
            <w:u w:val="single"/>
            <w:lang w:val="en-GB"/>
          </w:rPr>
          <w:t>manuals, guides and other materials</w:t>
        </w:r>
      </w:hyperlink>
      <w:r w:rsidR="00205D77" w:rsidRPr="00205D77">
        <w:rPr>
          <w:color w:val="000000"/>
          <w:lang w:val="en-GB"/>
        </w:rPr>
        <w:t xml:space="preserve"> that document their own statistical practices and those of member countries.</w:t>
      </w:r>
    </w:p>
    <w:p w14:paraId="1186D898" w14:textId="177A71FC" w:rsidR="00205D77" w:rsidRPr="00205D77" w:rsidRDefault="00205D77" w:rsidP="00205D77">
      <w:pPr>
        <w:pBdr>
          <w:top w:val="nil"/>
          <w:left w:val="nil"/>
          <w:bottom w:val="nil"/>
          <w:right w:val="nil"/>
          <w:between w:val="nil"/>
        </w:pBdr>
        <w:spacing w:after="0"/>
        <w:ind w:left="720"/>
        <w:rPr>
          <w:color w:val="000000"/>
          <w:lang w:val="en-GB"/>
        </w:rPr>
      </w:pPr>
      <w:r w:rsidRPr="00205D77">
        <w:rPr>
          <w:color w:val="000000"/>
          <w:lang w:val="en-GB"/>
        </w:rPr>
        <w:t xml:space="preserve">Again, data </w:t>
      </w:r>
      <w:r w:rsidR="00D10293">
        <w:rPr>
          <w:color w:val="000000"/>
          <w:lang w:val="en-GB"/>
        </w:rPr>
        <w:t>are</w:t>
      </w:r>
      <w:r w:rsidRPr="00205D77">
        <w:rPr>
          <w:color w:val="000000"/>
          <w:lang w:val="en-GB"/>
        </w:rPr>
        <w:t xml:space="preserve"> also accompanied by a complete </w:t>
      </w:r>
      <w:hyperlink r:id="rId165" w:history="1">
        <w:r w:rsidRPr="00D10293">
          <w:rPr>
            <w:color w:val="7030A0"/>
            <w:u w:val="single"/>
            <w:lang w:val="en-GB"/>
          </w:rPr>
          <w:t>visualization tool</w:t>
        </w:r>
      </w:hyperlink>
      <w:r w:rsidRPr="00205D77">
        <w:rPr>
          <w:color w:val="000000"/>
          <w:lang w:val="en-GB"/>
        </w:rPr>
        <w:t xml:space="preserve"> that allows us to make comparisons easily.</w:t>
      </w:r>
    </w:p>
    <w:p w14:paraId="2B9964D8" w14:textId="4E66516F" w:rsidR="00526D83" w:rsidRPr="008679F1" w:rsidRDefault="00526D83" w:rsidP="00B7528C">
      <w:pPr>
        <w:pStyle w:val="Ttulo2"/>
        <w:ind w:left="0"/>
        <w:rPr>
          <w:lang w:val="en-GB"/>
        </w:rPr>
      </w:pPr>
      <w:bookmarkStart w:id="35" w:name="_Toc30777405"/>
      <w:bookmarkStart w:id="36" w:name="_Toc34134701"/>
      <w:r w:rsidRPr="008679F1">
        <w:rPr>
          <w:lang w:val="en-GB"/>
        </w:rPr>
        <w:t xml:space="preserve">1.4 - </w:t>
      </w:r>
      <w:bookmarkEnd w:id="35"/>
      <w:r w:rsidR="008679F1" w:rsidRPr="008679F1">
        <w:rPr>
          <w:lang w:val="en-GB"/>
        </w:rPr>
        <w:t>CITIZENS DATA</w:t>
      </w:r>
      <w:bookmarkEnd w:id="36"/>
    </w:p>
    <w:p w14:paraId="36BE765B" w14:textId="7441C949" w:rsidR="00526D83" w:rsidRPr="008679F1" w:rsidRDefault="008679F1" w:rsidP="00731FC7">
      <w:pPr>
        <w:spacing w:after="0"/>
        <w:rPr>
          <w:lang w:val="en-GB"/>
        </w:rPr>
      </w:pPr>
      <w:r w:rsidRPr="008679F1">
        <w:rPr>
          <w:lang w:val="en-GB"/>
        </w:rPr>
        <w:t>To conclude this section, we cannot f</w:t>
      </w:r>
      <w:r w:rsidR="00D10293">
        <w:rPr>
          <w:lang w:val="en-GB"/>
        </w:rPr>
        <w:t>orget</w:t>
      </w:r>
      <w:r w:rsidRPr="008679F1">
        <w:rPr>
          <w:lang w:val="en-GB"/>
        </w:rPr>
        <w:t xml:space="preserve"> to mention an area that to some extent </w:t>
      </w:r>
      <w:r>
        <w:rPr>
          <w:lang w:val="en-GB"/>
        </w:rPr>
        <w:t>can be considered</w:t>
      </w:r>
      <w:r w:rsidRPr="008679F1">
        <w:rPr>
          <w:lang w:val="en-GB"/>
        </w:rPr>
        <w:t xml:space="preserve"> as the most coveted data source today, although not always with positive consequences: </w:t>
      </w:r>
      <w:r w:rsidR="00D10293">
        <w:rPr>
          <w:lang w:val="en-GB"/>
        </w:rPr>
        <w:t>p</w:t>
      </w:r>
      <w:r w:rsidRPr="008679F1">
        <w:rPr>
          <w:lang w:val="en-GB"/>
        </w:rPr>
        <w:t>ersonal data.</w:t>
      </w:r>
    </w:p>
    <w:p w14:paraId="41CA5D41" w14:textId="41B48712" w:rsidR="008679F1" w:rsidRPr="008679F1" w:rsidRDefault="008679F1" w:rsidP="00731FC7">
      <w:pPr>
        <w:spacing w:after="0"/>
        <w:rPr>
          <w:lang w:val="en-GB"/>
        </w:rPr>
      </w:pPr>
      <w:r>
        <w:rPr>
          <w:lang w:val="en-GB"/>
        </w:rPr>
        <w:t>T</w:t>
      </w:r>
      <w:r w:rsidRPr="008679F1">
        <w:rPr>
          <w:lang w:val="en-GB"/>
        </w:rPr>
        <w:t>he mostly predominant model when it comes to exploiting personal data focuses on three fundamental pillars today: (1) the ownership of the data; (2) the consent or minimum control by the persons; and (3) the short-term commercial benefit. This model has led us to a growing and profitable industry around the collection, integration and monetization of data, but at the same time it has given rise to unwanted side effects, mainly in terms of everything that affects privacy.</w:t>
      </w:r>
    </w:p>
    <w:p w14:paraId="4A78BE70" w14:textId="77777777" w:rsidR="008679F1" w:rsidRDefault="008679F1" w:rsidP="00731FC7">
      <w:pPr>
        <w:spacing w:after="0"/>
        <w:rPr>
          <w:lang w:val="en-GB"/>
        </w:rPr>
      </w:pPr>
      <w:r w:rsidRPr="008679F1">
        <w:rPr>
          <w:lang w:val="en-GB"/>
        </w:rPr>
        <w:t>Thus, in this section we will see some of the alternative motivations that exist when working with data that come directly from citizens in a more equitable way through two main models: self-management and co-creation.</w:t>
      </w:r>
    </w:p>
    <w:p w14:paraId="66DAFAFF" w14:textId="56DC3448" w:rsidR="00431CEF" w:rsidRDefault="00683271" w:rsidP="00731FC7">
      <w:pPr>
        <w:spacing w:after="0"/>
      </w:pPr>
      <w:r>
        <w:rPr>
          <w:noProof/>
        </w:rPr>
        <w:lastRenderedPageBreak/>
        <w:drawing>
          <wp:inline distT="0" distB="0" distL="0" distR="0" wp14:anchorId="7A1EE1E2" wp14:editId="5D5B2126">
            <wp:extent cx="5763260" cy="2253256"/>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Visual_Doc_06.jpg"/>
                    <pic:cNvPicPr/>
                  </pic:nvPicPr>
                  <pic:blipFill>
                    <a:blip r:embed="rId166">
                      <a:extLst>
                        <a:ext uri="{28A0092B-C50C-407E-A947-70E740481C1C}">
                          <a14:useLocalDpi xmlns:a14="http://schemas.microsoft.com/office/drawing/2010/main" val="0"/>
                        </a:ext>
                      </a:extLst>
                    </a:blip>
                    <a:stretch>
                      <a:fillRect/>
                    </a:stretch>
                  </pic:blipFill>
                  <pic:spPr>
                    <a:xfrm>
                      <a:off x="0" y="0"/>
                      <a:ext cx="5763260" cy="2253256"/>
                    </a:xfrm>
                    <a:prstGeom prst="rect">
                      <a:avLst/>
                    </a:prstGeom>
                  </pic:spPr>
                </pic:pic>
              </a:graphicData>
            </a:graphic>
          </wp:inline>
        </w:drawing>
      </w:r>
    </w:p>
    <w:p w14:paraId="5848E5BB" w14:textId="4362CB7D" w:rsidR="00526D83" w:rsidRPr="00D21BC0" w:rsidRDefault="00526D83" w:rsidP="00B7528C">
      <w:pPr>
        <w:pStyle w:val="Ttulo3"/>
        <w:numPr>
          <w:ilvl w:val="0"/>
          <w:numId w:val="0"/>
        </w:numPr>
        <w:spacing w:before="240" w:after="0" w:line="360" w:lineRule="auto"/>
        <w:ind w:left="720" w:hanging="720"/>
        <w:rPr>
          <w:lang w:val="en-GB"/>
        </w:rPr>
      </w:pPr>
      <w:bookmarkStart w:id="37" w:name="_Toc30777406"/>
      <w:bookmarkStart w:id="38" w:name="_Toc34134702"/>
      <w:r w:rsidRPr="00D21BC0">
        <w:rPr>
          <w:lang w:val="en-GB"/>
        </w:rPr>
        <w:t xml:space="preserve">1.4.1 – </w:t>
      </w:r>
      <w:bookmarkEnd w:id="37"/>
      <w:r w:rsidR="00D21BC0" w:rsidRPr="00D21BC0">
        <w:rPr>
          <w:lang w:val="en-GB"/>
        </w:rPr>
        <w:t>Self-management of personal data</w:t>
      </w:r>
      <w:bookmarkEnd w:id="38"/>
    </w:p>
    <w:p w14:paraId="1BEEF58F" w14:textId="3060E60B" w:rsidR="00D21BC0" w:rsidRPr="00D21BC0" w:rsidRDefault="00D21BC0" w:rsidP="00731FC7">
      <w:pPr>
        <w:spacing w:after="0"/>
        <w:rPr>
          <w:lang w:val="en-GB"/>
        </w:rPr>
      </w:pPr>
      <w:r w:rsidRPr="00D21BC0">
        <w:rPr>
          <w:lang w:val="en-GB"/>
        </w:rPr>
        <w:t xml:space="preserve">Personal data stores or PDSs arise as an alternative to the centralized management models that currently dominate our data in independent and isolated systems. Instead, personal data management systems are characterized by </w:t>
      </w:r>
      <w:r w:rsidRPr="004A49F6">
        <w:rPr>
          <w:b/>
          <w:lang w:val="en-GB"/>
        </w:rPr>
        <w:t>giving people the ability to decide on their data</w:t>
      </w:r>
      <w:r w:rsidRPr="00D21BC0">
        <w:rPr>
          <w:lang w:val="en-GB"/>
        </w:rPr>
        <w:t xml:space="preserve">, offering them a </w:t>
      </w:r>
      <w:r w:rsidRPr="004A49F6">
        <w:rPr>
          <w:b/>
          <w:lang w:val="en-GB"/>
        </w:rPr>
        <w:t>personal storage space</w:t>
      </w:r>
      <w:r w:rsidRPr="00D21BC0">
        <w:rPr>
          <w:lang w:val="en-GB"/>
        </w:rPr>
        <w:t xml:space="preserve"> (which can still be distributed) and a </w:t>
      </w:r>
      <w:r w:rsidRPr="004A49F6">
        <w:rPr>
          <w:b/>
          <w:lang w:val="en-GB"/>
        </w:rPr>
        <w:t>unified and interoperable</w:t>
      </w:r>
      <w:r w:rsidRPr="00D21BC0">
        <w:rPr>
          <w:lang w:val="en-GB"/>
        </w:rPr>
        <w:t xml:space="preserve"> </w:t>
      </w:r>
      <w:r w:rsidR="004A49F6">
        <w:rPr>
          <w:lang w:val="en-GB"/>
        </w:rPr>
        <w:t xml:space="preserve">data </w:t>
      </w:r>
      <w:r w:rsidRPr="00D21BC0">
        <w:rPr>
          <w:lang w:val="en-GB"/>
        </w:rPr>
        <w:t xml:space="preserve">management that allow them to </w:t>
      </w:r>
      <w:r w:rsidRPr="004A49F6">
        <w:rPr>
          <w:b/>
          <w:lang w:val="en-GB"/>
        </w:rPr>
        <w:t>control</w:t>
      </w:r>
      <w:r w:rsidRPr="00D21BC0">
        <w:rPr>
          <w:lang w:val="en-GB"/>
        </w:rPr>
        <w:t xml:space="preserve"> directly and at all times </w:t>
      </w:r>
      <w:r w:rsidRPr="004A49F6">
        <w:rPr>
          <w:b/>
          <w:lang w:val="en-GB"/>
        </w:rPr>
        <w:t>who</w:t>
      </w:r>
      <w:r w:rsidRPr="00D21BC0">
        <w:rPr>
          <w:lang w:val="en-GB"/>
        </w:rPr>
        <w:t xml:space="preserve"> has access to them and </w:t>
      </w:r>
      <w:r w:rsidRPr="004A49F6">
        <w:rPr>
          <w:b/>
          <w:lang w:val="en-GB"/>
        </w:rPr>
        <w:t>for what</w:t>
      </w:r>
      <w:r w:rsidRPr="00D21BC0">
        <w:rPr>
          <w:lang w:val="en-GB"/>
        </w:rPr>
        <w:t>, being able to establish specific custom permissions.</w:t>
      </w:r>
    </w:p>
    <w:p w14:paraId="649D8E58" w14:textId="7A970308" w:rsidR="004A49F6" w:rsidRPr="004A49F6" w:rsidRDefault="004A49F6" w:rsidP="00731FC7">
      <w:pPr>
        <w:spacing w:after="0"/>
        <w:rPr>
          <w:lang w:val="en-GB"/>
        </w:rPr>
      </w:pPr>
      <w:r w:rsidRPr="004A49F6">
        <w:rPr>
          <w:lang w:val="en-GB"/>
        </w:rPr>
        <w:t xml:space="preserve">This management model not only offers advantages from the point of view of strengthening privacy and digital rights, but also opens up a whole new spectrum of opportunities for service innovation, thanks to the fact that it facilitates the (consented) combination of a large </w:t>
      </w:r>
      <w:r>
        <w:rPr>
          <w:lang w:val="en-GB"/>
        </w:rPr>
        <w:t>amount</w:t>
      </w:r>
      <w:r w:rsidRPr="004A49F6">
        <w:rPr>
          <w:lang w:val="en-GB"/>
        </w:rPr>
        <w:t xml:space="preserve"> of data that until now were isolated on specific platforms.</w:t>
      </w:r>
    </w:p>
    <w:p w14:paraId="18E799A7" w14:textId="426B6382" w:rsidR="004A49F6" w:rsidRPr="004A49F6" w:rsidRDefault="004A49F6" w:rsidP="004A49F6">
      <w:pPr>
        <w:spacing w:after="0"/>
        <w:rPr>
          <w:lang w:val="en-GB"/>
        </w:rPr>
      </w:pPr>
      <w:r w:rsidRPr="004A49F6">
        <w:rPr>
          <w:lang w:val="en-GB"/>
        </w:rPr>
        <w:t xml:space="preserve">One of the most recent examples of these systems is </w:t>
      </w:r>
      <w:hyperlink r:id="rId167">
        <w:r w:rsidRPr="00D10293">
          <w:rPr>
            <w:b/>
            <w:color w:val="7030A0"/>
            <w:u w:val="single"/>
            <w:lang w:val="en-GB"/>
          </w:rPr>
          <w:t>SoLiD</w:t>
        </w:r>
      </w:hyperlink>
      <w:r w:rsidRPr="004A49F6">
        <w:rPr>
          <w:lang w:val="en-GB"/>
        </w:rPr>
        <w:t xml:space="preserve">, a proposal directed by the creator of the Web - Tim Berners-Lee - to respond to the blocking of personal data due to the lack of interoperability between applications currently existing. The goal of SoLiD is to create an entire ecosystem to carry out a new decentralization through which people can choose where their data </w:t>
      </w:r>
      <w:r w:rsidR="00D10293">
        <w:rPr>
          <w:lang w:val="en-GB"/>
        </w:rPr>
        <w:t>are</w:t>
      </w:r>
      <w:r w:rsidRPr="004A49F6">
        <w:rPr>
          <w:lang w:val="en-GB"/>
        </w:rPr>
        <w:t xml:space="preserve"> stored and who can access </w:t>
      </w:r>
      <w:r w:rsidR="00D10293">
        <w:rPr>
          <w:lang w:val="en-GB"/>
        </w:rPr>
        <w:t>to them</w:t>
      </w:r>
      <w:r w:rsidRPr="004A49F6">
        <w:rPr>
          <w:lang w:val="en-GB"/>
        </w:rPr>
        <w:t xml:space="preserve">, also fostering innovation thanks to avoiding the blockage caused by the lack of </w:t>
      </w:r>
      <w:r w:rsidRPr="004A49F6">
        <w:rPr>
          <w:lang w:val="en-GB"/>
        </w:rPr>
        <w:lastRenderedPageBreak/>
        <w:t xml:space="preserve">interoperability between current data platforms. Other examples of similar platforms are </w:t>
      </w:r>
      <w:hyperlink r:id="rId168">
        <w:r w:rsidRPr="00D10293">
          <w:rPr>
            <w:color w:val="7030A0"/>
            <w:u w:val="single"/>
            <w:lang w:val="en-GB"/>
          </w:rPr>
          <w:t>Digi.me</w:t>
        </w:r>
      </w:hyperlink>
      <w:r w:rsidRPr="004A49F6">
        <w:rPr>
          <w:lang w:val="en-GB"/>
        </w:rPr>
        <w:t xml:space="preserve">, </w:t>
      </w:r>
      <w:hyperlink r:id="rId169">
        <w:r w:rsidRPr="00D10293">
          <w:rPr>
            <w:color w:val="7030A0"/>
            <w:u w:val="single"/>
            <w:lang w:val="en-GB"/>
          </w:rPr>
          <w:t>openPDS</w:t>
        </w:r>
      </w:hyperlink>
      <w:r w:rsidRPr="00D10293">
        <w:rPr>
          <w:color w:val="0000FF"/>
          <w:lang w:val="en-GB"/>
        </w:rPr>
        <w:t xml:space="preserve"> </w:t>
      </w:r>
      <w:r w:rsidRPr="004A49F6">
        <w:rPr>
          <w:lang w:val="en-GB"/>
        </w:rPr>
        <w:t xml:space="preserve">or the Spanish </w:t>
      </w:r>
      <w:hyperlink r:id="rId170">
        <w:r w:rsidRPr="00D10293">
          <w:rPr>
            <w:color w:val="7030A0"/>
            <w:u w:val="single"/>
            <w:lang w:val="en-GB"/>
          </w:rPr>
          <w:t>Privacy Cloud</w:t>
        </w:r>
      </w:hyperlink>
      <w:r w:rsidRPr="004A49F6">
        <w:rPr>
          <w:lang w:val="en-GB"/>
        </w:rPr>
        <w:t>.</w:t>
      </w:r>
    </w:p>
    <w:p w14:paraId="66D79453" w14:textId="14E0ED34" w:rsidR="004A49F6" w:rsidRPr="004A49F6" w:rsidRDefault="004A49F6" w:rsidP="00731FC7">
      <w:pPr>
        <w:spacing w:after="0"/>
        <w:rPr>
          <w:lang w:val="en-GB"/>
        </w:rPr>
      </w:pPr>
      <w:r w:rsidRPr="004A49F6">
        <w:rPr>
          <w:lang w:val="en-GB"/>
        </w:rPr>
        <w:t xml:space="preserve">However, although the concept of personal data management systems has already been implemented repeatedly and there is a variety of platforms both free and commercial for some years, these systems have failed to establish themselves as a clear alternative, even in </w:t>
      </w:r>
      <w:r>
        <w:rPr>
          <w:lang w:val="en-GB"/>
        </w:rPr>
        <w:t>the current</w:t>
      </w:r>
      <w:r w:rsidRPr="004A49F6">
        <w:rPr>
          <w:lang w:val="en-GB"/>
        </w:rPr>
        <w:t xml:space="preserve"> environment of growing interest and concern for people's privacy.</w:t>
      </w:r>
    </w:p>
    <w:p w14:paraId="1AE9C741" w14:textId="07EE9033" w:rsidR="004A49F6" w:rsidRPr="004A49F6" w:rsidRDefault="004A49F6" w:rsidP="00731FC7">
      <w:pPr>
        <w:spacing w:after="0"/>
        <w:rPr>
          <w:lang w:val="en-GB"/>
        </w:rPr>
      </w:pPr>
      <w:r w:rsidRPr="004A49F6">
        <w:rPr>
          <w:lang w:val="en-GB"/>
        </w:rPr>
        <w:t>Probably the main barrier to the diffusion of these systems comes precisely from th</w:t>
      </w:r>
      <w:r>
        <w:rPr>
          <w:lang w:val="en-GB"/>
        </w:rPr>
        <w:t xml:space="preserve">e current </w:t>
      </w:r>
      <w:r w:rsidRPr="004A49F6">
        <w:rPr>
          <w:lang w:val="en-GB"/>
        </w:rPr>
        <w:t>limited adoption, which contributes to creating a vicious circle in which it is very difficult to offer interesting value-added services that can attract new users precisely until hav</w:t>
      </w:r>
      <w:r>
        <w:rPr>
          <w:lang w:val="en-GB"/>
        </w:rPr>
        <w:t>ing</w:t>
      </w:r>
      <w:r w:rsidRPr="004A49F6">
        <w:rPr>
          <w:lang w:val="en-GB"/>
        </w:rPr>
        <w:t xml:space="preserve"> a minimum of </w:t>
      </w:r>
      <w:r w:rsidR="00447F13">
        <w:rPr>
          <w:lang w:val="en-GB"/>
        </w:rPr>
        <w:t>number of users</w:t>
      </w:r>
      <w:r w:rsidRPr="004A49F6">
        <w:rPr>
          <w:lang w:val="en-GB"/>
        </w:rPr>
        <w:t xml:space="preserve">. However, the new </w:t>
      </w:r>
      <w:hyperlink r:id="rId171" w:history="1">
        <w:r w:rsidRPr="00D10293">
          <w:rPr>
            <w:color w:val="7030A0"/>
            <w:u w:val="single"/>
            <w:lang w:val="en-GB"/>
          </w:rPr>
          <w:t>right to the portability of personal data</w:t>
        </w:r>
      </w:hyperlink>
      <w:r w:rsidRPr="004A49F6">
        <w:rPr>
          <w:lang w:val="en-GB"/>
        </w:rPr>
        <w:t xml:space="preserve"> established by the European General Data Protection Regulation (GDPR) can contribute significantly to alleviate this problem in the near future. For example, thanks to this, initiatives such as the </w:t>
      </w:r>
      <w:hyperlink r:id="rId172" w:history="1">
        <w:r w:rsidRPr="00D10293">
          <w:rPr>
            <w:color w:val="7030A0"/>
            <w:u w:val="single"/>
            <w:lang w:val="en-GB"/>
          </w:rPr>
          <w:t>Data Transfer Project</w:t>
        </w:r>
      </w:hyperlink>
      <w:r w:rsidRPr="004A49F6">
        <w:rPr>
          <w:lang w:val="en-GB"/>
        </w:rPr>
        <w:t xml:space="preserve">, promoted by the </w:t>
      </w:r>
      <w:r w:rsidR="00447F13">
        <w:rPr>
          <w:lang w:val="en-GB"/>
        </w:rPr>
        <w:t>big</w:t>
      </w:r>
      <w:r w:rsidRPr="004A49F6">
        <w:rPr>
          <w:lang w:val="en-GB"/>
        </w:rPr>
        <w:t xml:space="preserve"> content platforms of the ICT industry, are already emerging.</w:t>
      </w:r>
    </w:p>
    <w:p w14:paraId="4E6DFE3C" w14:textId="4AAE2779" w:rsidR="00526D83" w:rsidRPr="00447F13" w:rsidRDefault="00526D83" w:rsidP="00B7528C">
      <w:pPr>
        <w:pStyle w:val="Ttulo3"/>
        <w:numPr>
          <w:ilvl w:val="0"/>
          <w:numId w:val="0"/>
        </w:numPr>
        <w:spacing w:before="240" w:after="0" w:line="360" w:lineRule="auto"/>
        <w:ind w:left="720" w:hanging="720"/>
        <w:rPr>
          <w:lang w:val="en-GB"/>
        </w:rPr>
      </w:pPr>
      <w:bookmarkStart w:id="39" w:name="_Toc30777407"/>
      <w:bookmarkStart w:id="40" w:name="_Toc34134703"/>
      <w:r w:rsidRPr="00447F13">
        <w:rPr>
          <w:lang w:val="en-GB"/>
        </w:rPr>
        <w:t xml:space="preserve">1.4.2 – </w:t>
      </w:r>
      <w:bookmarkEnd w:id="39"/>
      <w:r w:rsidR="00D21BC0" w:rsidRPr="00447F13">
        <w:rPr>
          <w:lang w:val="en-GB"/>
        </w:rPr>
        <w:t>Collaborative Data Repositories</w:t>
      </w:r>
      <w:bookmarkEnd w:id="40"/>
    </w:p>
    <w:p w14:paraId="44484526" w14:textId="77777777" w:rsidR="00447F13" w:rsidRPr="00447F13" w:rsidRDefault="00447F13" w:rsidP="00447F13">
      <w:pPr>
        <w:spacing w:after="0"/>
        <w:rPr>
          <w:lang w:val="en-GB"/>
        </w:rPr>
      </w:pPr>
      <w:r w:rsidRPr="00447F13">
        <w:rPr>
          <w:lang w:val="en-GB"/>
        </w:rPr>
        <w:t xml:space="preserve">Collaborative data sources arise from the concept of seeing </w:t>
      </w:r>
      <w:r w:rsidRPr="00447F13">
        <w:rPr>
          <w:b/>
          <w:lang w:val="en-GB"/>
        </w:rPr>
        <w:t>citizens</w:t>
      </w:r>
      <w:r w:rsidRPr="00447F13">
        <w:rPr>
          <w:lang w:val="en-GB"/>
        </w:rPr>
        <w:t xml:space="preserve"> not only as passive producers or consumers of information, but also </w:t>
      </w:r>
      <w:r w:rsidRPr="00447F13">
        <w:rPr>
          <w:b/>
          <w:lang w:val="en-GB"/>
        </w:rPr>
        <w:t>as publishers, users and active intermediaries of the data</w:t>
      </w:r>
      <w:r w:rsidRPr="00447F13">
        <w:rPr>
          <w:lang w:val="en-GB"/>
        </w:rPr>
        <w:t>.</w:t>
      </w:r>
    </w:p>
    <w:p w14:paraId="1AE92E4E" w14:textId="2A325125" w:rsidR="00447F13" w:rsidRPr="00447F13" w:rsidRDefault="00447F13" w:rsidP="00447F13">
      <w:pPr>
        <w:spacing w:after="0"/>
        <w:rPr>
          <w:lang w:val="en-GB"/>
        </w:rPr>
      </w:pPr>
      <w:r w:rsidRPr="00447F13">
        <w:rPr>
          <w:lang w:val="en-GB"/>
        </w:rPr>
        <w:t>The use of a</w:t>
      </w:r>
      <w:r>
        <w:rPr>
          <w:lang w:val="en-GB"/>
        </w:rPr>
        <w:t>n</w:t>
      </w:r>
      <w:r w:rsidRPr="00447F13">
        <w:rPr>
          <w:lang w:val="en-GB"/>
        </w:rPr>
        <w:t xml:space="preserve"> approach</w:t>
      </w:r>
      <w:r>
        <w:rPr>
          <w:lang w:val="en-GB"/>
        </w:rPr>
        <w:t xml:space="preserve"> focused on</w:t>
      </w:r>
      <w:r w:rsidRPr="00447F13">
        <w:rPr>
          <w:lang w:val="en-GB"/>
        </w:rPr>
        <w:t xml:space="preserve"> collaboratively data generated </w:t>
      </w:r>
      <w:r>
        <w:rPr>
          <w:lang w:val="en-GB"/>
        </w:rPr>
        <w:t xml:space="preserve">by people </w:t>
      </w:r>
      <w:r w:rsidRPr="00447F13">
        <w:rPr>
          <w:lang w:val="en-GB"/>
        </w:rPr>
        <w:t>can be effective in situations where data from other sources of utility for stakeholders is not available, either because they are not collected by the government or the sector privately or simply because, although they may exist, they are not accessible in any way. Likewise, data generated actively by people can also be useful to complement and / or contrast existing data when they are incomplete, inaccurate or not timely enough.</w:t>
      </w:r>
    </w:p>
    <w:p w14:paraId="0E1803B5" w14:textId="2B29E66E" w:rsidR="00526D83" w:rsidRPr="00433274" w:rsidRDefault="00447F13" w:rsidP="00731FC7">
      <w:pPr>
        <w:spacing w:after="0"/>
        <w:rPr>
          <w:lang w:val="en-GB"/>
        </w:rPr>
      </w:pPr>
      <w:r w:rsidRPr="00433274">
        <w:rPr>
          <w:lang w:val="en-GB"/>
        </w:rPr>
        <w:t xml:space="preserve"> </w:t>
      </w:r>
    </w:p>
    <w:p w14:paraId="3D8B5061" w14:textId="7D908948" w:rsidR="00447F13" w:rsidRPr="00447F13" w:rsidRDefault="00447F13" w:rsidP="00731FC7">
      <w:pPr>
        <w:spacing w:after="0"/>
        <w:rPr>
          <w:lang w:val="en-GB"/>
        </w:rPr>
      </w:pPr>
      <w:r w:rsidRPr="00447F13">
        <w:rPr>
          <w:lang w:val="en-GB"/>
        </w:rPr>
        <w:lastRenderedPageBreak/>
        <w:t xml:space="preserve">Among these types of collaborative data sources are some of the most complete, popular and reused data sources we have today, such as </w:t>
      </w:r>
      <w:hyperlink r:id="rId173">
        <w:r w:rsidRPr="004162A0">
          <w:rPr>
            <w:color w:val="7030A0"/>
            <w:u w:val="single"/>
            <w:lang w:val="en-GB"/>
          </w:rPr>
          <w:t>Open Street Maps</w:t>
        </w:r>
      </w:hyperlink>
      <w:r w:rsidRPr="00447F13">
        <w:rPr>
          <w:lang w:val="en-GB"/>
        </w:rPr>
        <w:t xml:space="preserve"> o</w:t>
      </w:r>
      <w:r>
        <w:rPr>
          <w:lang w:val="en-GB"/>
        </w:rPr>
        <w:t>r</w:t>
      </w:r>
      <w:r w:rsidRPr="00447F13">
        <w:rPr>
          <w:lang w:val="en-GB"/>
        </w:rPr>
        <w:t xml:space="preserve"> </w:t>
      </w:r>
      <w:hyperlink r:id="rId174">
        <w:r w:rsidRPr="004162A0">
          <w:rPr>
            <w:color w:val="7030A0"/>
            <w:u w:val="single"/>
            <w:lang w:val="en-GB"/>
          </w:rPr>
          <w:t>Wikidata</w:t>
        </w:r>
      </w:hyperlink>
      <w:r w:rsidRPr="00447F13">
        <w:rPr>
          <w:lang w:val="en-GB"/>
        </w:rPr>
        <w:t xml:space="preserve"> (which encompasses all Wikimedia projects, including Wikipedia), but also others that are much less known but equally useful as </w:t>
      </w:r>
      <w:hyperlink r:id="rId175">
        <w:r w:rsidRPr="004162A0">
          <w:rPr>
            <w:color w:val="7030A0"/>
            <w:u w:val="single"/>
            <w:lang w:val="en-GB"/>
          </w:rPr>
          <w:t>Open Food Facts</w:t>
        </w:r>
      </w:hyperlink>
      <w:r w:rsidRPr="00447F13">
        <w:rPr>
          <w:lang w:val="en-GB"/>
        </w:rPr>
        <w:t xml:space="preserve"> (collaborative database of food products), </w:t>
      </w:r>
      <w:hyperlink r:id="rId176">
        <w:r w:rsidRPr="004162A0">
          <w:rPr>
            <w:color w:val="7030A0"/>
            <w:u w:val="single"/>
            <w:lang w:val="en-GB"/>
          </w:rPr>
          <w:t>Open Africa</w:t>
        </w:r>
      </w:hyperlink>
      <w:r w:rsidRPr="00447F13">
        <w:rPr>
          <w:lang w:val="en-GB"/>
        </w:rPr>
        <w:t xml:space="preserve"> (the largest collaborative repository of open data in the continent), or </w:t>
      </w:r>
      <w:hyperlink r:id="rId177">
        <w:r w:rsidRPr="004162A0">
          <w:rPr>
            <w:color w:val="7030A0"/>
            <w:u w:val="single"/>
            <w:lang w:val="en-GB"/>
          </w:rPr>
          <w:t>el Viajero</w:t>
        </w:r>
      </w:hyperlink>
      <w:r w:rsidRPr="00447F13">
        <w:rPr>
          <w:lang w:val="en-GB"/>
        </w:rPr>
        <w:t xml:space="preserve"> (platform of tourist content that includes personal recommendations).</w:t>
      </w:r>
    </w:p>
    <w:p w14:paraId="4A52DDF1" w14:textId="6A8470C8" w:rsidR="00526D83" w:rsidRPr="00205D77" w:rsidRDefault="00526D83" w:rsidP="00B7528C">
      <w:pPr>
        <w:pStyle w:val="Ttulo1"/>
        <w:ind w:left="0"/>
        <w:rPr>
          <w:lang w:val="en-GB"/>
        </w:rPr>
      </w:pPr>
      <w:bookmarkStart w:id="41" w:name="_Toc30777408"/>
      <w:bookmarkStart w:id="42" w:name="_Toc34134704"/>
      <w:r w:rsidRPr="00205D77">
        <w:rPr>
          <w:lang w:val="en-GB"/>
        </w:rPr>
        <w:lastRenderedPageBreak/>
        <w:t xml:space="preserve">PART II </w:t>
      </w:r>
      <w:r w:rsidR="00205D77" w:rsidRPr="00205D77">
        <w:rPr>
          <w:lang w:val="en-GB"/>
        </w:rPr>
        <w:t>–</w:t>
      </w:r>
      <w:r w:rsidRPr="00205D77">
        <w:rPr>
          <w:lang w:val="en-GB"/>
        </w:rPr>
        <w:t xml:space="preserve"> </w:t>
      </w:r>
      <w:r w:rsidR="00205D77" w:rsidRPr="00205D77">
        <w:rPr>
          <w:lang w:val="en-GB"/>
        </w:rPr>
        <w:t xml:space="preserve">Collaboration models between </w:t>
      </w:r>
      <w:r w:rsidR="00205D77">
        <w:rPr>
          <w:lang w:val="en-GB"/>
        </w:rPr>
        <w:t>public and private entities</w:t>
      </w:r>
      <w:bookmarkEnd w:id="41"/>
      <w:bookmarkEnd w:id="42"/>
    </w:p>
    <w:p w14:paraId="0186AE17" w14:textId="660364D2" w:rsidR="00076518" w:rsidRDefault="00076518" w:rsidP="00076518">
      <w:pPr>
        <w:spacing w:after="0"/>
        <w:rPr>
          <w:lang w:val="en-GB"/>
        </w:rPr>
      </w:pPr>
      <w:r>
        <w:rPr>
          <w:noProof/>
        </w:rPr>
        <w:drawing>
          <wp:anchor distT="0" distB="0" distL="114300" distR="114300" simplePos="0" relativeHeight="251700224" behindDoc="0" locked="0" layoutInCell="1" allowOverlap="1" wp14:anchorId="5EFEC548" wp14:editId="308AE85C">
            <wp:simplePos x="0" y="0"/>
            <wp:positionH relativeFrom="margin">
              <wp:align>left</wp:align>
            </wp:positionH>
            <wp:positionV relativeFrom="paragraph">
              <wp:posOffset>2125345</wp:posOffset>
            </wp:positionV>
            <wp:extent cx="5709920" cy="4396105"/>
            <wp:effectExtent l="0" t="0" r="5080" b="4445"/>
            <wp:wrapSquare wrapText="bothSides"/>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Visual_Doc_07.jpg"/>
                    <pic:cNvPicPr/>
                  </pic:nvPicPr>
                  <pic:blipFill>
                    <a:blip r:embed="rId178">
                      <a:extLst>
                        <a:ext uri="{28A0092B-C50C-407E-A947-70E740481C1C}">
                          <a14:useLocalDpi xmlns:a14="http://schemas.microsoft.com/office/drawing/2010/main" val="0"/>
                        </a:ext>
                      </a:extLst>
                    </a:blip>
                    <a:stretch>
                      <a:fillRect/>
                    </a:stretch>
                  </pic:blipFill>
                  <pic:spPr>
                    <a:xfrm>
                      <a:off x="0" y="0"/>
                      <a:ext cx="5709920" cy="4396105"/>
                    </a:xfrm>
                    <a:prstGeom prst="rect">
                      <a:avLst/>
                    </a:prstGeom>
                  </pic:spPr>
                </pic:pic>
              </a:graphicData>
            </a:graphic>
            <wp14:sizeRelH relativeFrom="page">
              <wp14:pctWidth>0</wp14:pctWidth>
            </wp14:sizeRelH>
            <wp14:sizeRelV relativeFrom="page">
              <wp14:pctHeight>0</wp14:pctHeight>
            </wp14:sizeRelV>
          </wp:anchor>
        </w:drawing>
      </w:r>
      <w:r w:rsidRPr="00076518">
        <w:rPr>
          <w:lang w:val="en-GB"/>
        </w:rPr>
        <w:t>In this second part of the report</w:t>
      </w:r>
      <w:r w:rsidR="004162A0">
        <w:rPr>
          <w:lang w:val="en-GB"/>
        </w:rPr>
        <w:t>,</w:t>
      </w:r>
      <w:r w:rsidRPr="00076518">
        <w:rPr>
          <w:lang w:val="en-GB"/>
        </w:rPr>
        <w:t xml:space="preserve"> we will dedicate ourselves to presenting different models of collaboration that may arise between the public sector and the different data producing agents seen in the previous section when working together to increase the availability of data. Several of these models </w:t>
      </w:r>
      <w:r>
        <w:rPr>
          <w:lang w:val="en-GB"/>
        </w:rPr>
        <w:t>-</w:t>
      </w:r>
      <w:r w:rsidRPr="00076518">
        <w:rPr>
          <w:lang w:val="en-GB"/>
        </w:rPr>
        <w:t xml:space="preserve"> represented in the following figure</w:t>
      </w:r>
      <w:r>
        <w:rPr>
          <w:lang w:val="en-GB"/>
        </w:rPr>
        <w:t xml:space="preserve">- </w:t>
      </w:r>
      <w:r w:rsidRPr="00076518">
        <w:rPr>
          <w:lang w:val="en-GB"/>
        </w:rPr>
        <w:t>are not a new invention of the world of data, but are simply adapted from other existing models for the regulation of similar relationships in other fields of application. Some of them may also seem very similar to each other, but in those cases</w:t>
      </w:r>
      <w:r>
        <w:rPr>
          <w:lang w:val="en-GB"/>
        </w:rPr>
        <w:t>,</w:t>
      </w:r>
      <w:r w:rsidRPr="00076518">
        <w:rPr>
          <w:lang w:val="en-GB"/>
        </w:rPr>
        <w:t xml:space="preserve"> it is precisely the subtle differences that best define them.</w:t>
      </w:r>
    </w:p>
    <w:p w14:paraId="7BD87613" w14:textId="5D3B7E20" w:rsidR="00076518" w:rsidRPr="00076518" w:rsidRDefault="00076518" w:rsidP="00076518">
      <w:pPr>
        <w:tabs>
          <w:tab w:val="left" w:pos="1080"/>
        </w:tabs>
        <w:spacing w:after="0"/>
        <w:rPr>
          <w:lang w:val="en-GB"/>
        </w:rPr>
      </w:pPr>
    </w:p>
    <w:p w14:paraId="1F684F83" w14:textId="77777777" w:rsidR="00076518" w:rsidRPr="00076518" w:rsidRDefault="00076518" w:rsidP="00076518">
      <w:pPr>
        <w:spacing w:after="0"/>
        <w:rPr>
          <w:lang w:val="en-GB"/>
        </w:rPr>
      </w:pPr>
      <w:r w:rsidRPr="00076518">
        <w:rPr>
          <w:lang w:val="en-GB"/>
        </w:rPr>
        <w:lastRenderedPageBreak/>
        <w:t>As in the previous section, we will also see several examples of how each of these models have been implemented so far.</w:t>
      </w:r>
    </w:p>
    <w:p w14:paraId="43041FA3" w14:textId="03E41B72" w:rsidR="00AC7D1B" w:rsidRPr="00076518" w:rsidRDefault="00AC7D1B" w:rsidP="008F7DF4">
      <w:pPr>
        <w:spacing w:after="0"/>
        <w:jc w:val="left"/>
        <w:rPr>
          <w:lang w:val="en-GB"/>
        </w:rPr>
      </w:pPr>
    </w:p>
    <w:p w14:paraId="46878580" w14:textId="1C055C18" w:rsidR="00526D83" w:rsidRPr="00076518" w:rsidRDefault="00526D83" w:rsidP="00B7528C">
      <w:pPr>
        <w:pStyle w:val="Ttulo2"/>
        <w:ind w:left="0"/>
        <w:rPr>
          <w:lang w:val="en-GB"/>
        </w:rPr>
      </w:pPr>
      <w:bookmarkStart w:id="43" w:name="_Toc30777409"/>
      <w:bookmarkStart w:id="44" w:name="_Toc34134705"/>
      <w:r w:rsidRPr="00076518">
        <w:rPr>
          <w:lang w:val="en-GB"/>
        </w:rPr>
        <w:t>2.1 –</w:t>
      </w:r>
      <w:bookmarkEnd w:id="43"/>
      <w:r w:rsidR="00076518" w:rsidRPr="00076518">
        <w:rPr>
          <w:lang w:val="en-GB"/>
        </w:rPr>
        <w:t xml:space="preserve"> DATA SHARING AGREEMENTS</w:t>
      </w:r>
      <w:bookmarkEnd w:id="44"/>
    </w:p>
    <w:p w14:paraId="58BED4E2" w14:textId="573AF59F" w:rsidR="00076518" w:rsidRPr="00076518" w:rsidRDefault="00076518" w:rsidP="00076518">
      <w:pPr>
        <w:spacing w:after="0"/>
        <w:rPr>
          <w:lang w:val="en-GB"/>
        </w:rPr>
      </w:pPr>
      <w:r w:rsidRPr="00076518">
        <w:rPr>
          <w:lang w:val="en-GB"/>
        </w:rPr>
        <w:t xml:space="preserve">A data sharing agreement (DSA) could be defined in general as an </w:t>
      </w:r>
      <w:r w:rsidRPr="00076518">
        <w:rPr>
          <w:b/>
          <w:lang w:val="en-GB"/>
        </w:rPr>
        <w:t>agreement between two or more legal entities for the exchange of data or information of any kind</w:t>
      </w:r>
      <w:r w:rsidRPr="00076518">
        <w:rPr>
          <w:lang w:val="en-GB"/>
        </w:rPr>
        <w:t xml:space="preserve">. This type of procedure for data sharing is relatively frequent and can take different forms depending on each specific case, from </w:t>
      </w:r>
      <w:hyperlink r:id="rId179" w:history="1">
        <w:r w:rsidRPr="004162A0">
          <w:rPr>
            <w:color w:val="7030A0"/>
            <w:u w:val="single"/>
            <w:lang w:val="en-GB"/>
          </w:rPr>
          <w:t>consortia between multiple public and private organizations to improve mobility and sustainability of transport systems</w:t>
        </w:r>
      </w:hyperlink>
      <w:r w:rsidRPr="00076518">
        <w:rPr>
          <w:lang w:val="en-GB"/>
        </w:rPr>
        <w:t xml:space="preserve"> to </w:t>
      </w:r>
      <w:hyperlink r:id="rId180" w:history="1">
        <w:r w:rsidRPr="00076518">
          <w:rPr>
            <w:rStyle w:val="Hipervnculo"/>
            <w:lang w:val="en-GB"/>
          </w:rPr>
          <w:t>agreements between the National Institute of Health (NIH) of the United States and the nation of the Navajo people</w:t>
        </w:r>
      </w:hyperlink>
      <w:r w:rsidRPr="00076518">
        <w:rPr>
          <w:lang w:val="en-GB"/>
        </w:rPr>
        <w:t xml:space="preserve"> in matters of child health.</w:t>
      </w:r>
    </w:p>
    <w:p w14:paraId="3BF465FE" w14:textId="71315E5B" w:rsidR="00076518" w:rsidRPr="00076518" w:rsidRDefault="00076518" w:rsidP="00076518">
      <w:pPr>
        <w:spacing w:after="0"/>
        <w:rPr>
          <w:lang w:val="en-GB"/>
        </w:rPr>
      </w:pPr>
      <w:r w:rsidRPr="00076518">
        <w:rPr>
          <w:lang w:val="en-GB"/>
        </w:rPr>
        <w:t>Depending on the specific needs of the parties involved, this data sharing can take different forms, from a reciprocal exchange of data to sharing with other organizations, either in a timely manner or continuously over time. Sharing agreements between different parts of the same organization (for example between different agencies of the same government) are also quite frequent.</w:t>
      </w:r>
    </w:p>
    <w:p w14:paraId="1EEDB705" w14:textId="03AB4358" w:rsidR="00076518" w:rsidRPr="00076518" w:rsidRDefault="00076518" w:rsidP="00731FC7">
      <w:pPr>
        <w:spacing w:after="0"/>
        <w:rPr>
          <w:lang w:val="en-GB"/>
        </w:rPr>
      </w:pPr>
      <w:r w:rsidRPr="00076518">
        <w:rPr>
          <w:lang w:val="en-GB"/>
        </w:rPr>
        <w:t>These types of agreements may affect data of a very varied nature, including personal data or other data protected by intellectual property rights an</w:t>
      </w:r>
      <w:r>
        <w:rPr>
          <w:lang w:val="en-GB"/>
        </w:rPr>
        <w:t>d similar ones</w:t>
      </w:r>
      <w:r w:rsidRPr="00076518">
        <w:rPr>
          <w:lang w:val="en-GB"/>
        </w:rPr>
        <w:t>. That is why, within these agreements, the general legislation applicable to the different types of data involved (such as data protection regulations) must also be considered, without prejudice to any other terms and conditions that are particularly agreed, such as the duration of the agreement, confidentiality issues, security measures or restrictions on use.</w:t>
      </w:r>
    </w:p>
    <w:p w14:paraId="04523334" w14:textId="61B0016B" w:rsidR="00076518" w:rsidRPr="00076518" w:rsidRDefault="00076518" w:rsidP="00731FC7">
      <w:pPr>
        <w:spacing w:after="0"/>
        <w:rPr>
          <w:lang w:val="en-GB"/>
        </w:rPr>
      </w:pPr>
      <w:r w:rsidRPr="00076518">
        <w:rPr>
          <w:lang w:val="en-GB"/>
        </w:rPr>
        <w:t xml:space="preserve">Given the difficulty of establishing a regulatory framework that can be effective in view of the wide variety and divergence of all possible existing use cases for data exchange between organizations, the European Commission has instead chosen to publish a series of detailed </w:t>
      </w:r>
      <w:hyperlink r:id="rId181" w:history="1">
        <w:r w:rsidRPr="00433274">
          <w:rPr>
            <w:color w:val="7030A0"/>
            <w:u w:val="single"/>
            <w:lang w:val="en-GB"/>
          </w:rPr>
          <w:t xml:space="preserve">guidelines for </w:t>
        </w:r>
        <w:r w:rsidR="005D0A05" w:rsidRPr="00433274">
          <w:rPr>
            <w:color w:val="7030A0"/>
            <w:u w:val="single"/>
            <w:lang w:val="en-GB"/>
          </w:rPr>
          <w:t>data</w:t>
        </w:r>
        <w:r w:rsidRPr="00433274">
          <w:rPr>
            <w:color w:val="7030A0"/>
            <w:u w:val="single"/>
            <w:lang w:val="en-GB"/>
          </w:rPr>
          <w:t xml:space="preserve"> exchange</w:t>
        </w:r>
      </w:hyperlink>
      <w:r w:rsidRPr="00076518">
        <w:rPr>
          <w:lang w:val="en-GB"/>
        </w:rPr>
        <w:t xml:space="preserve"> in the form of good practices and recommendations. Other governments have chosen to publish more specific guides to </w:t>
      </w:r>
      <w:r w:rsidRPr="00076518">
        <w:rPr>
          <w:lang w:val="en-GB"/>
        </w:rPr>
        <w:lastRenderedPageBreak/>
        <w:t xml:space="preserve">better deal with more particular cases, such as the </w:t>
      </w:r>
      <w:hyperlink r:id="rId182" w:history="1">
        <w:r w:rsidRPr="004162A0">
          <w:rPr>
            <w:color w:val="7030A0"/>
            <w:u w:val="single"/>
            <w:lang w:val="en-GB"/>
          </w:rPr>
          <w:t>code of conduct when sharing personal</w:t>
        </w:r>
      </w:hyperlink>
      <w:r w:rsidRPr="00076518">
        <w:rPr>
          <w:lang w:val="en-GB"/>
        </w:rPr>
        <w:t xml:space="preserve"> data published in the United Kingdom through its Information Commissioner's Office (ICO) and whose main objective is to facilitate the correct implementation of the data protection regulations.</w:t>
      </w:r>
    </w:p>
    <w:p w14:paraId="19D1A4B0" w14:textId="77777777" w:rsidR="00526D83" w:rsidRPr="00F4597C" w:rsidRDefault="00526D83" w:rsidP="00B7528C">
      <w:pPr>
        <w:pStyle w:val="Ttulo2"/>
        <w:ind w:left="0"/>
        <w:rPr>
          <w:lang w:val="en-GB"/>
        </w:rPr>
      </w:pPr>
      <w:bookmarkStart w:id="45" w:name="_Toc30777410"/>
      <w:bookmarkStart w:id="46" w:name="_Toc34134706"/>
      <w:r w:rsidRPr="00F4597C">
        <w:rPr>
          <w:lang w:val="en-GB"/>
        </w:rPr>
        <w:t>2.2 – DATA TRUSTS</w:t>
      </w:r>
      <w:bookmarkEnd w:id="45"/>
      <w:bookmarkEnd w:id="46"/>
    </w:p>
    <w:p w14:paraId="5003606F" w14:textId="44BA8FDA" w:rsidR="00F4597C" w:rsidRPr="00F4597C" w:rsidRDefault="00F4597C" w:rsidP="00731FC7">
      <w:pPr>
        <w:spacing w:after="0"/>
        <w:rPr>
          <w:lang w:val="en-GB"/>
        </w:rPr>
      </w:pPr>
      <w:r w:rsidRPr="00F4597C">
        <w:rPr>
          <w:lang w:val="en-GB"/>
        </w:rPr>
        <w:t xml:space="preserve">The </w:t>
      </w:r>
      <w:hyperlink r:id="rId183" w:history="1">
        <w:r w:rsidRPr="004162A0">
          <w:rPr>
            <w:color w:val="7030A0"/>
            <w:u w:val="single"/>
            <w:lang w:val="en-GB"/>
          </w:rPr>
          <w:t>Open Data Institute</w:t>
        </w:r>
      </w:hyperlink>
      <w:r w:rsidRPr="00F4597C">
        <w:rPr>
          <w:lang w:val="en-GB"/>
        </w:rPr>
        <w:t xml:space="preserve"> (ODI) defines data trust</w:t>
      </w:r>
      <w:r>
        <w:rPr>
          <w:lang w:val="en-GB"/>
        </w:rPr>
        <w:t>s</w:t>
      </w:r>
      <w:r w:rsidRPr="00F4597C">
        <w:rPr>
          <w:lang w:val="en-GB"/>
        </w:rPr>
        <w:t xml:space="preserve"> as </w:t>
      </w:r>
      <w:r w:rsidRPr="00F4597C">
        <w:rPr>
          <w:b/>
          <w:lang w:val="en-GB"/>
        </w:rPr>
        <w:t>organizational structures designed to facilitate the independent management of data</w:t>
      </w:r>
      <w:r>
        <w:rPr>
          <w:lang w:val="en-GB"/>
        </w:rPr>
        <w:t>. Data trusts</w:t>
      </w:r>
      <w:r w:rsidRPr="00F4597C">
        <w:rPr>
          <w:lang w:val="en-GB"/>
        </w:rPr>
        <w:t xml:space="preserve"> are inspired by the legal trusts</w:t>
      </w:r>
      <w:r>
        <w:rPr>
          <w:lang w:val="en-GB"/>
        </w:rPr>
        <w:t xml:space="preserve">, </w:t>
      </w:r>
      <w:r w:rsidRPr="00F4597C">
        <w:rPr>
          <w:lang w:val="en-GB"/>
        </w:rPr>
        <w:t xml:space="preserve">but do not have </w:t>
      </w:r>
      <w:r>
        <w:rPr>
          <w:lang w:val="en-GB"/>
        </w:rPr>
        <w:t>t</w:t>
      </w:r>
      <w:r w:rsidRPr="00F4597C">
        <w:rPr>
          <w:lang w:val="en-GB"/>
        </w:rPr>
        <w:t>he same legal consideration exactly. Data trust</w:t>
      </w:r>
      <w:r>
        <w:rPr>
          <w:lang w:val="en-GB"/>
        </w:rPr>
        <w:t>s</w:t>
      </w:r>
      <w:r w:rsidRPr="00F4597C">
        <w:rPr>
          <w:lang w:val="en-GB"/>
        </w:rPr>
        <w:t xml:space="preserve"> borrow th</w:t>
      </w:r>
      <w:r w:rsidR="004162A0">
        <w:rPr>
          <w:lang w:val="en-GB"/>
        </w:rPr>
        <w:t>e</w:t>
      </w:r>
      <w:r w:rsidRPr="00F4597C">
        <w:rPr>
          <w:lang w:val="en-GB"/>
        </w:rPr>
        <w:t xml:space="preserve"> concept of allowing an independent organization to take control of decisions about something and apply it to the world of data.</w:t>
      </w:r>
    </w:p>
    <w:p w14:paraId="3CE6CA3C" w14:textId="1C99E304" w:rsidR="00F4597C" w:rsidRPr="00F4597C" w:rsidRDefault="00F4597C" w:rsidP="00731FC7">
      <w:pPr>
        <w:spacing w:after="0"/>
        <w:rPr>
          <w:lang w:val="en-GB"/>
        </w:rPr>
      </w:pPr>
      <w:r w:rsidRPr="00F4597C">
        <w:rPr>
          <w:lang w:val="en-GB"/>
        </w:rPr>
        <w:t>As a data administrator, a data trust can decide who will have access to that data, under what conditions and for whose benefit. While normally the same organization that collects and retains the data is usually also responsible for managing it, in the case of</w:t>
      </w:r>
      <w:r>
        <w:rPr>
          <w:lang w:val="en-GB"/>
        </w:rPr>
        <w:t xml:space="preserve"> a</w:t>
      </w:r>
      <w:r w:rsidRPr="00F4597C">
        <w:rPr>
          <w:lang w:val="en-GB"/>
        </w:rPr>
        <w:t xml:space="preserve"> data trust, it is allowed that other external organizations can make independent decisions on how they will use and share that data</w:t>
      </w:r>
      <w:r>
        <w:rPr>
          <w:lang w:val="en-GB"/>
        </w:rPr>
        <w:t>,</w:t>
      </w:r>
      <w:r w:rsidRPr="00F4597C">
        <w:rPr>
          <w:lang w:val="en-GB"/>
        </w:rPr>
        <w:t xml:space="preserve"> as </w:t>
      </w:r>
      <w:r>
        <w:rPr>
          <w:lang w:val="en-GB"/>
        </w:rPr>
        <w:t>they</w:t>
      </w:r>
      <w:r w:rsidRPr="00F4597C">
        <w:rPr>
          <w:lang w:val="en-GB"/>
        </w:rPr>
        <w:t xml:space="preserve"> </w:t>
      </w:r>
      <w:r w:rsidR="004162A0" w:rsidRPr="00F4597C">
        <w:rPr>
          <w:lang w:val="en-GB"/>
        </w:rPr>
        <w:t>deem</w:t>
      </w:r>
      <w:r w:rsidRPr="00F4597C">
        <w:rPr>
          <w:lang w:val="en-GB"/>
        </w:rPr>
        <w:t xml:space="preserve"> most appropriate in each case and in accordance with the initially intended purposes.</w:t>
      </w:r>
    </w:p>
    <w:p w14:paraId="60D3DE31" w14:textId="0C54C204" w:rsidR="00F4597C" w:rsidRPr="00F4597C" w:rsidRDefault="00F4597C" w:rsidP="00731FC7">
      <w:pPr>
        <w:spacing w:after="0"/>
        <w:rPr>
          <w:lang w:val="en-GB"/>
        </w:rPr>
      </w:pPr>
      <w:r w:rsidRPr="00F4597C">
        <w:rPr>
          <w:lang w:val="en-GB"/>
        </w:rPr>
        <w:t>The data trust</w:t>
      </w:r>
      <w:r>
        <w:rPr>
          <w:lang w:val="en-GB"/>
        </w:rPr>
        <w:t>s</w:t>
      </w:r>
      <w:r w:rsidRPr="00F4597C">
        <w:rPr>
          <w:lang w:val="en-GB"/>
        </w:rPr>
        <w:t xml:space="preserve"> remain independent of the organizations that own the data and the possible users. In order to achieve this independence, it is possible that both the original owners of the data and the end users may be separated from the decisions</w:t>
      </w:r>
      <w:r w:rsidR="00263113">
        <w:rPr>
          <w:lang w:val="en-GB"/>
        </w:rPr>
        <w:t>-making</w:t>
      </w:r>
      <w:r w:rsidR="00263113" w:rsidRPr="00263113">
        <w:rPr>
          <w:lang w:val="en-GB"/>
        </w:rPr>
        <w:t xml:space="preserve"> </w:t>
      </w:r>
      <w:r w:rsidR="00263113" w:rsidRPr="00F4597C">
        <w:rPr>
          <w:lang w:val="en-GB"/>
        </w:rPr>
        <w:t>at some time</w:t>
      </w:r>
      <w:r w:rsidRPr="00F4597C">
        <w:rPr>
          <w:lang w:val="en-GB"/>
        </w:rPr>
        <w:t>. At the same time</w:t>
      </w:r>
      <w:r w:rsidRPr="00263113">
        <w:rPr>
          <w:b/>
          <w:lang w:val="en-GB"/>
        </w:rPr>
        <w:t>, the data trust will assume the binding legal responsibility to ensure that the data is shared and used for the benefit of a particular group of people and organizations</w:t>
      </w:r>
      <w:r w:rsidR="00263113">
        <w:rPr>
          <w:b/>
          <w:lang w:val="en-GB"/>
        </w:rPr>
        <w:t>,</w:t>
      </w:r>
      <w:r w:rsidRPr="00263113">
        <w:rPr>
          <w:b/>
          <w:lang w:val="en-GB"/>
        </w:rPr>
        <w:t xml:space="preserve"> as agreed</w:t>
      </w:r>
      <w:r w:rsidRPr="00F4597C">
        <w:rPr>
          <w:lang w:val="en-GB"/>
        </w:rPr>
        <w:t>.</w:t>
      </w:r>
    </w:p>
    <w:p w14:paraId="397F3E79" w14:textId="6ACC332B" w:rsidR="00263113" w:rsidRPr="00263113" w:rsidRDefault="00263113" w:rsidP="00731FC7">
      <w:pPr>
        <w:spacing w:after="0"/>
        <w:rPr>
          <w:lang w:val="en-GB"/>
        </w:rPr>
      </w:pPr>
      <w:r w:rsidRPr="00263113">
        <w:rPr>
          <w:lang w:val="en-GB"/>
        </w:rPr>
        <w:t xml:space="preserve">There are several potential benefits associated with the adoption of this intermediary figure for data management. For example, as an independent body, a data trust can help balance the views and incentives of the different agents involved, which on several occasions may be different, </w:t>
      </w:r>
      <w:r w:rsidR="004162A0">
        <w:rPr>
          <w:lang w:val="en-GB"/>
        </w:rPr>
        <w:t>or even</w:t>
      </w:r>
      <w:r w:rsidRPr="00263113">
        <w:rPr>
          <w:lang w:val="en-GB"/>
        </w:rPr>
        <w:t xml:space="preserve"> directly opposed. Also, being more specialized agencies, data trust can help to achieve all the benefits generally associated with </w:t>
      </w:r>
      <w:r>
        <w:rPr>
          <w:lang w:val="en-GB"/>
        </w:rPr>
        <w:t xml:space="preserve">data </w:t>
      </w:r>
      <w:r w:rsidRPr="00263113">
        <w:rPr>
          <w:lang w:val="en-GB"/>
        </w:rPr>
        <w:t>sharing, but at a significantly lower cost thanks precisely to that specialization.</w:t>
      </w:r>
    </w:p>
    <w:p w14:paraId="635FA32E" w14:textId="77777777" w:rsidR="00263113" w:rsidRDefault="00263113" w:rsidP="00731FC7">
      <w:pPr>
        <w:spacing w:after="0"/>
        <w:rPr>
          <w:lang w:val="en-GB"/>
        </w:rPr>
      </w:pPr>
    </w:p>
    <w:p w14:paraId="43C53E38" w14:textId="01FB40B6" w:rsidR="00263113" w:rsidRPr="00263113" w:rsidRDefault="00263113" w:rsidP="00731FC7">
      <w:pPr>
        <w:spacing w:after="0"/>
        <w:rPr>
          <w:lang w:val="en-GB"/>
        </w:rPr>
      </w:pPr>
      <w:r w:rsidRPr="00263113">
        <w:rPr>
          <w:lang w:val="en-GB"/>
        </w:rPr>
        <w:t xml:space="preserve">The ODI has been testing this model recently through </w:t>
      </w:r>
      <w:hyperlink r:id="rId184" w:anchor="heading=h.zijyt4q3698t" w:history="1">
        <w:r w:rsidRPr="00AB01C6">
          <w:rPr>
            <w:color w:val="7030A0"/>
            <w:u w:val="single"/>
            <w:lang w:val="en-GB"/>
          </w:rPr>
          <w:t>a series of pilot experiences</w:t>
        </w:r>
      </w:hyperlink>
      <w:r w:rsidRPr="00263113">
        <w:rPr>
          <w:lang w:val="en-GB"/>
        </w:rPr>
        <w:t xml:space="preserve"> carried out jointly with several public and private organizations in the United Kingdom, with objectives as disparate as the management of car parks reserved for electric vehicles, waste minimization from food surpluses or animal and plant trafficking.</w:t>
      </w:r>
    </w:p>
    <w:p w14:paraId="4B66E389" w14:textId="77777777" w:rsidR="00526D83" w:rsidRPr="009C5988" w:rsidRDefault="00526D83" w:rsidP="00B7528C">
      <w:pPr>
        <w:pStyle w:val="Ttulo2"/>
        <w:ind w:left="0"/>
        <w:rPr>
          <w:lang w:val="en-GB"/>
        </w:rPr>
      </w:pPr>
      <w:bookmarkStart w:id="47" w:name="_Toc30777411"/>
      <w:bookmarkStart w:id="48" w:name="_Toc34134707"/>
      <w:r w:rsidRPr="009C5988">
        <w:rPr>
          <w:lang w:val="en-GB"/>
        </w:rPr>
        <w:t>2.3 – DATA COLLABORATIVES</w:t>
      </w:r>
      <w:bookmarkEnd w:id="47"/>
      <w:bookmarkEnd w:id="48"/>
    </w:p>
    <w:p w14:paraId="2BD148A4" w14:textId="5DECFDFE" w:rsidR="009C5988" w:rsidRPr="009C5988" w:rsidRDefault="009C5988" w:rsidP="009C5988">
      <w:pPr>
        <w:spacing w:after="0"/>
        <w:rPr>
          <w:lang w:val="en-GB"/>
        </w:rPr>
      </w:pPr>
      <w:r w:rsidRPr="009C5988">
        <w:rPr>
          <w:lang w:val="en-GB"/>
        </w:rPr>
        <w:t xml:space="preserve">The term Data Collaboratives refers to a new model of collaboration that goes beyond the traditional model of public-private partnerships (ppp), in which </w:t>
      </w:r>
      <w:r w:rsidRPr="00F76D09">
        <w:rPr>
          <w:b/>
          <w:lang w:val="en-GB"/>
        </w:rPr>
        <w:t>participants from different sectors</w:t>
      </w:r>
      <w:r w:rsidRPr="009C5988">
        <w:rPr>
          <w:lang w:val="en-GB"/>
        </w:rPr>
        <w:t xml:space="preserve"> (including private companies, research institutions and government agencies) </w:t>
      </w:r>
      <w:r w:rsidR="00F76D09" w:rsidRPr="00F76D09">
        <w:rPr>
          <w:b/>
          <w:lang w:val="en-GB"/>
        </w:rPr>
        <w:t>share</w:t>
      </w:r>
      <w:r w:rsidRPr="00F76D09">
        <w:rPr>
          <w:b/>
          <w:lang w:val="en-GB"/>
        </w:rPr>
        <w:t xml:space="preserve"> data in order to help solve public problems</w:t>
      </w:r>
      <w:r w:rsidRPr="009C5988">
        <w:rPr>
          <w:lang w:val="en-GB"/>
        </w:rPr>
        <w:t>.</w:t>
      </w:r>
    </w:p>
    <w:p w14:paraId="39751971" w14:textId="77777777" w:rsidR="009C5988" w:rsidRPr="009C5988" w:rsidRDefault="009C5988" w:rsidP="009C5988">
      <w:pPr>
        <w:spacing w:after="0"/>
        <w:rPr>
          <w:lang w:val="en-GB"/>
        </w:rPr>
      </w:pPr>
      <w:r w:rsidRPr="009C5988">
        <w:rPr>
          <w:lang w:val="en-GB"/>
        </w:rPr>
        <w:t>Access to different data sources allows us to understand public problems from different angles. By creating this type of data collaborations and opening data from different agents, new solutions can be found to combat public problems. Thus, Data Collaboratives can contribute to generating public value in many different ways, such as:</w:t>
      </w:r>
    </w:p>
    <w:p w14:paraId="43A34C73" w14:textId="3AAAFA3A" w:rsidR="00526D83" w:rsidRPr="00F76D09" w:rsidRDefault="008E157A" w:rsidP="00D5466B">
      <w:pPr>
        <w:pBdr>
          <w:top w:val="nil"/>
          <w:left w:val="nil"/>
          <w:bottom w:val="nil"/>
          <w:right w:val="nil"/>
          <w:between w:val="nil"/>
        </w:pBdr>
        <w:spacing w:after="0"/>
        <w:ind w:left="1701"/>
        <w:rPr>
          <w:lang w:val="en-GB"/>
        </w:rPr>
      </w:pPr>
      <w:r>
        <w:rPr>
          <w:b/>
          <w:noProof/>
          <w:color w:val="000000"/>
        </w:rPr>
        <w:drawing>
          <wp:anchor distT="0" distB="0" distL="114300" distR="114300" simplePos="0" relativeHeight="251680768" behindDoc="0" locked="0" layoutInCell="1" allowOverlap="1" wp14:anchorId="37C09D23" wp14:editId="50A82606">
            <wp:simplePos x="0" y="0"/>
            <wp:positionH relativeFrom="column">
              <wp:posOffset>425785</wp:posOffset>
            </wp:positionH>
            <wp:positionV relativeFrom="paragraph">
              <wp:posOffset>135479</wp:posOffset>
            </wp:positionV>
            <wp:extent cx="492369" cy="492369"/>
            <wp:effectExtent l="0" t="0" r="0" b="0"/>
            <wp:wrapSquare wrapText="bothSides"/>
            <wp:docPr id="36" name="Gráfico 36" descr="Sire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mediafile_UfyDEo.svg"/>
                    <pic:cNvPicPr/>
                  </pic:nvPicPr>
                  <pic:blipFill>
                    <a:blip r:embed="rId185">
                      <a:extLst>
                        <a:ext uri="{28A0092B-C50C-407E-A947-70E740481C1C}">
                          <a14:useLocalDpi xmlns:a14="http://schemas.microsoft.com/office/drawing/2010/main" val="0"/>
                        </a:ext>
                        <a:ext uri="{96DAC541-7B7A-43D3-8B79-37D633B846F1}">
                          <asvg:svgBlip xmlns:asvg="http://schemas.microsoft.com/office/drawing/2016/SVG/main" r:embed="rId186"/>
                        </a:ext>
                      </a:extLst>
                    </a:blip>
                    <a:stretch>
                      <a:fillRect/>
                    </a:stretch>
                  </pic:blipFill>
                  <pic:spPr>
                    <a:xfrm>
                      <a:off x="0" y="0"/>
                      <a:ext cx="492369" cy="492369"/>
                    </a:xfrm>
                    <a:prstGeom prst="rect">
                      <a:avLst/>
                    </a:prstGeom>
                  </pic:spPr>
                </pic:pic>
              </a:graphicData>
            </a:graphic>
            <wp14:sizeRelH relativeFrom="page">
              <wp14:pctWidth>0</wp14:pctWidth>
            </wp14:sizeRelH>
            <wp14:sizeRelV relativeFrom="page">
              <wp14:pctHeight>0</wp14:pctHeight>
            </wp14:sizeRelV>
          </wp:anchor>
        </w:drawing>
      </w:r>
      <w:r w:rsidR="00F76D09" w:rsidRPr="00F76D09">
        <w:rPr>
          <w:b/>
          <w:color w:val="000000"/>
          <w:lang w:val="en-GB"/>
        </w:rPr>
        <w:t>In response to exceptional or emergency situations</w:t>
      </w:r>
      <w:r w:rsidR="00F76D09" w:rsidRPr="00F76D09">
        <w:rPr>
          <w:color w:val="000000"/>
          <w:lang w:val="en-GB"/>
        </w:rPr>
        <w:t>: facilitating the understanding of the problem and the capabilities to track conditions on the ground to help execute more efficient interventions.</w:t>
      </w:r>
    </w:p>
    <w:p w14:paraId="6AB8A3D4" w14:textId="29EB44CE" w:rsidR="00526D83" w:rsidRPr="00F76D09" w:rsidRDefault="00B94A3D" w:rsidP="00D5466B">
      <w:pPr>
        <w:pBdr>
          <w:top w:val="nil"/>
          <w:left w:val="nil"/>
          <w:bottom w:val="nil"/>
          <w:right w:val="nil"/>
          <w:between w:val="nil"/>
        </w:pBdr>
        <w:spacing w:after="0"/>
        <w:ind w:left="1701"/>
        <w:rPr>
          <w:lang w:val="en-GB"/>
        </w:rPr>
      </w:pPr>
      <w:r>
        <w:rPr>
          <w:b/>
          <w:noProof/>
          <w:color w:val="000000"/>
        </w:rPr>
        <w:drawing>
          <wp:anchor distT="0" distB="0" distL="114300" distR="114300" simplePos="0" relativeHeight="251681792" behindDoc="0" locked="0" layoutInCell="1" allowOverlap="1" wp14:anchorId="1B4D96F2" wp14:editId="476388E6">
            <wp:simplePos x="0" y="0"/>
            <wp:positionH relativeFrom="column">
              <wp:posOffset>455930</wp:posOffset>
            </wp:positionH>
            <wp:positionV relativeFrom="paragraph">
              <wp:posOffset>171450</wp:posOffset>
            </wp:positionV>
            <wp:extent cx="421640" cy="421640"/>
            <wp:effectExtent l="0" t="0" r="0" b="0"/>
            <wp:wrapSquare wrapText="bothSides"/>
            <wp:docPr id="37" name="Gráfico 37" descr="Reg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mediafile_xS23oV.svg"/>
                    <pic:cNvPicPr/>
                  </pic:nvPicPr>
                  <pic:blipFill>
                    <a:blip r:embed="rId187">
                      <a:extLst>
                        <a:ext uri="{28A0092B-C50C-407E-A947-70E740481C1C}">
                          <a14:useLocalDpi xmlns:a14="http://schemas.microsoft.com/office/drawing/2010/main" val="0"/>
                        </a:ext>
                        <a:ext uri="{96DAC541-7B7A-43D3-8B79-37D633B846F1}">
                          <asvg:svgBlip xmlns:asvg="http://schemas.microsoft.com/office/drawing/2016/SVG/main" r:embed="rId188"/>
                        </a:ext>
                      </a:extLst>
                    </a:blip>
                    <a:stretch>
                      <a:fillRect/>
                    </a:stretch>
                  </pic:blipFill>
                  <pic:spPr>
                    <a:xfrm>
                      <a:off x="0" y="0"/>
                      <a:ext cx="421640" cy="421640"/>
                    </a:xfrm>
                    <a:prstGeom prst="rect">
                      <a:avLst/>
                    </a:prstGeom>
                  </pic:spPr>
                </pic:pic>
              </a:graphicData>
            </a:graphic>
            <wp14:sizeRelH relativeFrom="page">
              <wp14:pctWidth>0</wp14:pctWidth>
            </wp14:sizeRelH>
            <wp14:sizeRelV relativeFrom="page">
              <wp14:pctHeight>0</wp14:pctHeight>
            </wp14:sizeRelV>
          </wp:anchor>
        </w:drawing>
      </w:r>
      <w:r w:rsidR="00F76D09" w:rsidRPr="00F76D09">
        <w:rPr>
          <w:b/>
          <w:color w:val="000000"/>
          <w:lang w:val="en-GB"/>
        </w:rPr>
        <w:t>The design and execution of public services:</w:t>
      </w:r>
      <w:r w:rsidR="00F76D09" w:rsidRPr="00F76D09">
        <w:rPr>
          <w:color w:val="000000"/>
          <w:lang w:val="en-GB"/>
        </w:rPr>
        <w:t xml:space="preserve"> </w:t>
      </w:r>
      <w:r w:rsidR="00F76D09">
        <w:rPr>
          <w:color w:val="000000"/>
          <w:lang w:val="en-GB"/>
        </w:rPr>
        <w:t>because</w:t>
      </w:r>
      <w:r w:rsidR="00F76D09" w:rsidRPr="00F76D09">
        <w:rPr>
          <w:color w:val="000000"/>
          <w:lang w:val="en-GB"/>
        </w:rPr>
        <w:t xml:space="preserve"> access to new datasets results in a more accurate </w:t>
      </w:r>
      <w:r w:rsidR="00AB01C6" w:rsidRPr="00F76D09">
        <w:rPr>
          <w:color w:val="000000"/>
          <w:lang w:val="en-GB"/>
        </w:rPr>
        <w:t>modelling</w:t>
      </w:r>
      <w:r w:rsidR="00F76D09" w:rsidRPr="00F76D09">
        <w:rPr>
          <w:color w:val="000000"/>
          <w:lang w:val="en-GB"/>
        </w:rPr>
        <w:t xml:space="preserve"> of the population that will also allow for a more precise and selective adaptation based on evidence.</w:t>
      </w:r>
    </w:p>
    <w:p w14:paraId="4871E3DE" w14:textId="3579E089" w:rsidR="00526D83" w:rsidRPr="00F76D09" w:rsidRDefault="00D3671D" w:rsidP="00D5466B">
      <w:pPr>
        <w:pBdr>
          <w:top w:val="nil"/>
          <w:left w:val="nil"/>
          <w:bottom w:val="nil"/>
          <w:right w:val="nil"/>
          <w:between w:val="nil"/>
        </w:pBdr>
        <w:spacing w:after="0"/>
        <w:ind w:left="1701"/>
        <w:rPr>
          <w:lang w:val="en-GB"/>
        </w:rPr>
      </w:pPr>
      <w:r>
        <w:rPr>
          <w:b/>
          <w:noProof/>
          <w:color w:val="000000"/>
        </w:rPr>
        <w:drawing>
          <wp:anchor distT="0" distB="0" distL="114300" distR="114300" simplePos="0" relativeHeight="251682816" behindDoc="0" locked="0" layoutInCell="1" allowOverlap="1" wp14:anchorId="53687C1B" wp14:editId="56E13D54">
            <wp:simplePos x="0" y="0"/>
            <wp:positionH relativeFrom="column">
              <wp:posOffset>455930</wp:posOffset>
            </wp:positionH>
            <wp:positionV relativeFrom="paragraph">
              <wp:posOffset>152400</wp:posOffset>
            </wp:positionV>
            <wp:extent cx="461645" cy="461645"/>
            <wp:effectExtent l="0" t="0" r="0" b="0"/>
            <wp:wrapSquare wrapText="bothSides"/>
            <wp:docPr id="38" name="Gráfico 38" descr="Reseña de cli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mediafile_iepRdq.svg"/>
                    <pic:cNvPicPr/>
                  </pic:nvPicPr>
                  <pic:blipFill>
                    <a:blip r:embed="rId189">
                      <a:extLst>
                        <a:ext uri="{28A0092B-C50C-407E-A947-70E740481C1C}">
                          <a14:useLocalDpi xmlns:a14="http://schemas.microsoft.com/office/drawing/2010/main" val="0"/>
                        </a:ext>
                        <a:ext uri="{96DAC541-7B7A-43D3-8B79-37D633B846F1}">
                          <asvg:svgBlip xmlns:asvg="http://schemas.microsoft.com/office/drawing/2016/SVG/main" r:embed="rId190"/>
                        </a:ext>
                      </a:extLst>
                    </a:blip>
                    <a:stretch>
                      <a:fillRect/>
                    </a:stretch>
                  </pic:blipFill>
                  <pic:spPr>
                    <a:xfrm>
                      <a:off x="0" y="0"/>
                      <a:ext cx="461645" cy="461645"/>
                    </a:xfrm>
                    <a:prstGeom prst="rect">
                      <a:avLst/>
                    </a:prstGeom>
                  </pic:spPr>
                </pic:pic>
              </a:graphicData>
            </a:graphic>
            <wp14:sizeRelH relativeFrom="page">
              <wp14:pctWidth>0</wp14:pctWidth>
            </wp14:sizeRelH>
            <wp14:sizeRelV relativeFrom="page">
              <wp14:pctHeight>0</wp14:pctHeight>
            </wp14:sizeRelV>
          </wp:anchor>
        </w:drawing>
      </w:r>
      <w:r w:rsidR="00F76D09" w:rsidRPr="00F76D09">
        <w:rPr>
          <w:b/>
          <w:color w:val="000000"/>
          <w:lang w:val="en-GB"/>
        </w:rPr>
        <w:t>The creation and transfer of knowledge:</w:t>
      </w:r>
      <w:r w:rsidR="00F76D09" w:rsidRPr="00F76D09">
        <w:rPr>
          <w:color w:val="000000"/>
          <w:lang w:val="en-GB"/>
        </w:rPr>
        <w:t xml:space="preserve"> </w:t>
      </w:r>
      <w:r w:rsidR="00F76D09">
        <w:rPr>
          <w:color w:val="000000"/>
          <w:lang w:val="en-GB"/>
        </w:rPr>
        <w:t>because</w:t>
      </w:r>
      <w:r w:rsidR="00F76D09" w:rsidRPr="00F76D09">
        <w:rPr>
          <w:color w:val="000000"/>
          <w:lang w:val="en-GB"/>
        </w:rPr>
        <w:t xml:space="preserve"> greater availability of data allows reducing </w:t>
      </w:r>
      <w:r w:rsidR="00F76D09">
        <w:rPr>
          <w:color w:val="000000"/>
          <w:lang w:val="en-GB"/>
        </w:rPr>
        <w:t>current</w:t>
      </w:r>
      <w:r w:rsidR="00F76D09" w:rsidRPr="00F76D09">
        <w:rPr>
          <w:color w:val="000000"/>
          <w:lang w:val="en-GB"/>
        </w:rPr>
        <w:t xml:space="preserve"> knowledge gaps and ensuring that those who are responsible for decision-making always have all the necessary information in this regard.</w:t>
      </w:r>
    </w:p>
    <w:p w14:paraId="543F8C0C" w14:textId="274A5547" w:rsidR="00526D83" w:rsidRPr="00F76D09" w:rsidRDefault="00940A75" w:rsidP="00D5466B">
      <w:pPr>
        <w:pBdr>
          <w:top w:val="nil"/>
          <w:left w:val="nil"/>
          <w:bottom w:val="nil"/>
          <w:right w:val="nil"/>
          <w:between w:val="nil"/>
        </w:pBdr>
        <w:spacing w:after="0"/>
        <w:ind w:left="1701"/>
        <w:rPr>
          <w:lang w:val="en-GB"/>
        </w:rPr>
      </w:pPr>
      <w:r>
        <w:rPr>
          <w:b/>
          <w:noProof/>
          <w:color w:val="000000"/>
        </w:rPr>
        <w:lastRenderedPageBreak/>
        <w:drawing>
          <wp:anchor distT="0" distB="0" distL="114300" distR="114300" simplePos="0" relativeHeight="251683840" behindDoc="0" locked="0" layoutInCell="1" allowOverlap="1" wp14:anchorId="0A31352A" wp14:editId="21C4D056">
            <wp:simplePos x="0" y="0"/>
            <wp:positionH relativeFrom="column">
              <wp:posOffset>455930</wp:posOffset>
            </wp:positionH>
            <wp:positionV relativeFrom="paragraph">
              <wp:posOffset>57150</wp:posOffset>
            </wp:positionV>
            <wp:extent cx="492125" cy="492125"/>
            <wp:effectExtent l="0" t="0" r="0" b="3175"/>
            <wp:wrapSquare wrapText="bothSides"/>
            <wp:docPr id="41" name="Gráfico 41" descr="Telescop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mediafile_OD04Ss.svg"/>
                    <pic:cNvPicPr/>
                  </pic:nvPicPr>
                  <pic:blipFill>
                    <a:blip r:embed="rId191">
                      <a:extLst>
                        <a:ext uri="{28A0092B-C50C-407E-A947-70E740481C1C}">
                          <a14:useLocalDpi xmlns:a14="http://schemas.microsoft.com/office/drawing/2010/main" val="0"/>
                        </a:ext>
                        <a:ext uri="{96DAC541-7B7A-43D3-8B79-37D633B846F1}">
                          <asvg:svgBlip xmlns:asvg="http://schemas.microsoft.com/office/drawing/2016/SVG/main" r:embed="rId192"/>
                        </a:ext>
                      </a:extLst>
                    </a:blip>
                    <a:stretch>
                      <a:fillRect/>
                    </a:stretch>
                  </pic:blipFill>
                  <pic:spPr>
                    <a:xfrm>
                      <a:off x="0" y="0"/>
                      <a:ext cx="492125" cy="492125"/>
                    </a:xfrm>
                    <a:prstGeom prst="rect">
                      <a:avLst/>
                    </a:prstGeom>
                  </pic:spPr>
                </pic:pic>
              </a:graphicData>
            </a:graphic>
            <wp14:sizeRelH relativeFrom="page">
              <wp14:pctWidth>0</wp14:pctWidth>
            </wp14:sizeRelH>
            <wp14:sizeRelV relativeFrom="page">
              <wp14:pctHeight>0</wp14:pctHeight>
            </wp14:sizeRelV>
          </wp:anchor>
        </w:drawing>
      </w:r>
      <w:r w:rsidR="00F76D09" w:rsidRPr="00F76D09">
        <w:rPr>
          <w:b/>
          <w:color w:val="000000"/>
          <w:lang w:val="en-GB"/>
        </w:rPr>
        <w:t xml:space="preserve">Prediction and anticipation: </w:t>
      </w:r>
      <w:r w:rsidR="00F76D09" w:rsidRPr="00F76D09">
        <w:rPr>
          <w:color w:val="000000"/>
          <w:lang w:val="en-GB"/>
        </w:rPr>
        <w:t>enabling new capabilities that will help institutions to be more proactive by implementing mechanisms aimed at mitigating potential problems or even avoiding them before they occur.</w:t>
      </w:r>
    </w:p>
    <w:p w14:paraId="24EC7E61" w14:textId="2676FFEA" w:rsidR="00526D83" w:rsidRPr="00F76D09" w:rsidRDefault="00940A75" w:rsidP="00D5466B">
      <w:pPr>
        <w:pBdr>
          <w:top w:val="nil"/>
          <w:left w:val="nil"/>
          <w:bottom w:val="nil"/>
          <w:right w:val="nil"/>
          <w:between w:val="nil"/>
        </w:pBdr>
        <w:spacing w:after="0"/>
        <w:ind w:left="1701"/>
        <w:rPr>
          <w:lang w:val="en-GB"/>
        </w:rPr>
      </w:pPr>
      <w:r>
        <w:rPr>
          <w:b/>
          <w:noProof/>
          <w:color w:val="000000"/>
        </w:rPr>
        <w:drawing>
          <wp:anchor distT="0" distB="0" distL="114300" distR="114300" simplePos="0" relativeHeight="251684864" behindDoc="0" locked="0" layoutInCell="1" allowOverlap="1" wp14:anchorId="66387DE1" wp14:editId="3AD4A848">
            <wp:simplePos x="0" y="0"/>
            <wp:positionH relativeFrom="column">
              <wp:posOffset>455930</wp:posOffset>
            </wp:positionH>
            <wp:positionV relativeFrom="paragraph">
              <wp:posOffset>154940</wp:posOffset>
            </wp:positionV>
            <wp:extent cx="421640" cy="421640"/>
            <wp:effectExtent l="0" t="0" r="0" b="0"/>
            <wp:wrapSquare wrapText="bothSides"/>
            <wp:docPr id="42" name="Gráfico 42" descr="Investig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mediafile_gDNeHP.svg"/>
                    <pic:cNvPicPr/>
                  </pic:nvPicPr>
                  <pic:blipFill>
                    <a:blip r:embed="rId193">
                      <a:extLst>
                        <a:ext uri="{28A0092B-C50C-407E-A947-70E740481C1C}">
                          <a14:useLocalDpi xmlns:a14="http://schemas.microsoft.com/office/drawing/2010/main" val="0"/>
                        </a:ext>
                        <a:ext uri="{96DAC541-7B7A-43D3-8B79-37D633B846F1}">
                          <asvg:svgBlip xmlns:asvg="http://schemas.microsoft.com/office/drawing/2016/SVG/main" r:embed="rId194"/>
                        </a:ext>
                      </a:extLst>
                    </a:blip>
                    <a:stretch>
                      <a:fillRect/>
                    </a:stretch>
                  </pic:blipFill>
                  <pic:spPr>
                    <a:xfrm>
                      <a:off x="0" y="0"/>
                      <a:ext cx="421640" cy="421640"/>
                    </a:xfrm>
                    <a:prstGeom prst="rect">
                      <a:avLst/>
                    </a:prstGeom>
                  </pic:spPr>
                </pic:pic>
              </a:graphicData>
            </a:graphic>
            <wp14:sizeRelH relativeFrom="page">
              <wp14:pctWidth>0</wp14:pctWidth>
            </wp14:sizeRelH>
            <wp14:sizeRelV relativeFrom="page">
              <wp14:pctHeight>0</wp14:pctHeight>
            </wp14:sizeRelV>
          </wp:anchor>
        </w:drawing>
      </w:r>
      <w:r w:rsidR="00F76D09" w:rsidRPr="00F76D09">
        <w:rPr>
          <w:b/>
          <w:color w:val="000000"/>
          <w:lang w:val="en-GB"/>
        </w:rPr>
        <w:t>The impact assessment:</w:t>
      </w:r>
      <w:r w:rsidR="00F76D09" w:rsidRPr="00F76D09">
        <w:rPr>
          <w:color w:val="000000"/>
          <w:lang w:val="en-GB"/>
        </w:rPr>
        <w:t xml:space="preserve"> being able to monitor the real impact of the policies thanks to the greater availability of information and thus take the necessary corrective actions in time.</w:t>
      </w:r>
    </w:p>
    <w:p w14:paraId="3600E5E7" w14:textId="2D79B37F" w:rsidR="00F76D09" w:rsidRPr="00F76D09" w:rsidRDefault="00F76D09" w:rsidP="00731FC7">
      <w:pPr>
        <w:spacing w:after="0"/>
        <w:rPr>
          <w:lang w:val="en-GB"/>
        </w:rPr>
      </w:pPr>
      <w:r w:rsidRPr="00F76D09">
        <w:rPr>
          <w:lang w:val="en-GB"/>
        </w:rPr>
        <w:t xml:space="preserve">The GovLab, promoter of the concept of data collaboratives, offers us a wide </w:t>
      </w:r>
      <w:hyperlink r:id="rId195" w:history="1">
        <w:r w:rsidRPr="00433274">
          <w:rPr>
            <w:color w:val="7030A0"/>
            <w:u w:val="single"/>
            <w:lang w:val="en-GB"/>
          </w:rPr>
          <w:t>catalo</w:t>
        </w:r>
        <w:r w:rsidR="00AB01C6" w:rsidRPr="00433274">
          <w:rPr>
            <w:color w:val="7030A0"/>
            <w:u w:val="single"/>
            <w:lang w:val="en-GB"/>
          </w:rPr>
          <w:t>gue</w:t>
        </w:r>
        <w:r w:rsidRPr="00433274">
          <w:rPr>
            <w:color w:val="7030A0"/>
            <w:u w:val="single"/>
            <w:lang w:val="en-GB"/>
          </w:rPr>
          <w:t xml:space="preserve"> with dozens of real examples of active collaborations</w:t>
        </w:r>
      </w:hyperlink>
      <w:r w:rsidRPr="00F76D09">
        <w:rPr>
          <w:lang w:val="en-GB"/>
        </w:rPr>
        <w:t xml:space="preserve"> in different parts of the world and covering areas as diverse as agriculture, education, environment, education, transport or infrastructure among others.</w:t>
      </w:r>
    </w:p>
    <w:p w14:paraId="1AAC557F" w14:textId="77777777" w:rsidR="00526D83" w:rsidRPr="00F76D09" w:rsidRDefault="00526D83" w:rsidP="00B7528C">
      <w:pPr>
        <w:pStyle w:val="Ttulo2"/>
        <w:ind w:left="0"/>
        <w:rPr>
          <w:lang w:val="en-GB"/>
        </w:rPr>
      </w:pPr>
      <w:bookmarkStart w:id="49" w:name="_Toc30777412"/>
      <w:bookmarkStart w:id="50" w:name="_Toc34134708"/>
      <w:r w:rsidRPr="00F76D09">
        <w:rPr>
          <w:lang w:val="en-GB"/>
        </w:rPr>
        <w:t>2.4 – DATA FELLOWSHIPS</w:t>
      </w:r>
      <w:bookmarkEnd w:id="49"/>
      <w:bookmarkEnd w:id="50"/>
    </w:p>
    <w:p w14:paraId="1958B50F" w14:textId="195D44B6" w:rsidR="00F76D09" w:rsidRPr="00433274" w:rsidRDefault="00F76D09" w:rsidP="00731FC7">
      <w:pPr>
        <w:spacing w:after="0"/>
        <w:rPr>
          <w:lang w:val="en-GB"/>
        </w:rPr>
      </w:pPr>
      <w:r w:rsidRPr="00F76D09">
        <w:rPr>
          <w:lang w:val="en-GB"/>
        </w:rPr>
        <w:t xml:space="preserve">Data fellowships generally consist of </w:t>
      </w:r>
      <w:r w:rsidRPr="00F76D09">
        <w:rPr>
          <w:b/>
          <w:lang w:val="en-GB"/>
        </w:rPr>
        <w:t>scheduled stays in which members of the government share time and space with other private organizations</w:t>
      </w:r>
      <w:r w:rsidRPr="00F76D09">
        <w:rPr>
          <w:lang w:val="en-GB"/>
        </w:rPr>
        <w:t xml:space="preserve">. The main objective of these collaborations is to </w:t>
      </w:r>
      <w:r w:rsidRPr="00F76D09">
        <w:rPr>
          <w:b/>
          <w:lang w:val="en-GB"/>
        </w:rPr>
        <w:t>share knowledge</w:t>
      </w:r>
      <w:r w:rsidRPr="00F76D09">
        <w:rPr>
          <w:lang w:val="en-GB"/>
        </w:rPr>
        <w:t xml:space="preserve"> while working together to solve a specific problem of public interest. </w:t>
      </w:r>
      <w:r w:rsidRPr="00433274">
        <w:rPr>
          <w:lang w:val="en-GB"/>
        </w:rPr>
        <w:t>Some advantages of fellowship programs are:</w:t>
      </w:r>
    </w:p>
    <w:p w14:paraId="43A23784" w14:textId="22A6F750" w:rsidR="00526D83" w:rsidRPr="00F76D09" w:rsidRDefault="00122728" w:rsidP="00122728">
      <w:pPr>
        <w:pBdr>
          <w:top w:val="nil"/>
          <w:left w:val="nil"/>
          <w:bottom w:val="nil"/>
          <w:right w:val="nil"/>
          <w:between w:val="nil"/>
        </w:pBdr>
        <w:spacing w:after="0"/>
        <w:ind w:left="720"/>
        <w:rPr>
          <w:lang w:val="en-GB"/>
        </w:rPr>
      </w:pPr>
      <w:r>
        <w:rPr>
          <w:noProof/>
          <w:color w:val="000000"/>
        </w:rPr>
        <w:drawing>
          <wp:anchor distT="0" distB="0" distL="114300" distR="114300" simplePos="0" relativeHeight="251686912" behindDoc="0" locked="0" layoutInCell="1" allowOverlap="1" wp14:anchorId="56FBE51F" wp14:editId="64160BFA">
            <wp:simplePos x="0" y="0"/>
            <wp:positionH relativeFrom="column">
              <wp:posOffset>523875</wp:posOffset>
            </wp:positionH>
            <wp:positionV relativeFrom="paragraph">
              <wp:posOffset>161925</wp:posOffset>
            </wp:positionV>
            <wp:extent cx="452120" cy="452120"/>
            <wp:effectExtent l="0" t="0" r="5080" b="0"/>
            <wp:wrapSquare wrapText="bothSides"/>
            <wp:docPr id="43" name="Gráfico 43" descr="Aula de cla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mediafile_GVmhLu.svg"/>
                    <pic:cNvPicPr/>
                  </pic:nvPicPr>
                  <pic:blipFill>
                    <a:blip r:embed="rId196">
                      <a:extLst>
                        <a:ext uri="{28A0092B-C50C-407E-A947-70E740481C1C}">
                          <a14:useLocalDpi xmlns:a14="http://schemas.microsoft.com/office/drawing/2010/main" val="0"/>
                        </a:ext>
                        <a:ext uri="{96DAC541-7B7A-43D3-8B79-37D633B846F1}">
                          <asvg:svgBlip xmlns:asvg="http://schemas.microsoft.com/office/drawing/2016/SVG/main" r:embed="rId197"/>
                        </a:ext>
                      </a:extLst>
                    </a:blip>
                    <a:stretch>
                      <a:fillRect/>
                    </a:stretch>
                  </pic:blipFill>
                  <pic:spPr>
                    <a:xfrm>
                      <a:off x="0" y="0"/>
                      <a:ext cx="452120" cy="452120"/>
                    </a:xfrm>
                    <a:prstGeom prst="rect">
                      <a:avLst/>
                    </a:prstGeom>
                  </pic:spPr>
                </pic:pic>
              </a:graphicData>
            </a:graphic>
            <wp14:sizeRelH relativeFrom="page">
              <wp14:pctWidth>0</wp14:pctWidth>
            </wp14:sizeRelH>
            <wp14:sizeRelV relativeFrom="page">
              <wp14:pctHeight>0</wp14:pctHeight>
            </wp14:sizeRelV>
          </wp:anchor>
        </w:drawing>
      </w:r>
      <w:r w:rsidR="00F76D09" w:rsidRPr="00F76D09">
        <w:rPr>
          <w:color w:val="000000"/>
          <w:lang w:val="en-GB"/>
        </w:rPr>
        <w:t xml:space="preserve">They improve both </w:t>
      </w:r>
      <w:r w:rsidR="00F76D09" w:rsidRPr="00F76D09">
        <w:rPr>
          <w:b/>
          <w:color w:val="000000"/>
          <w:lang w:val="en-GB"/>
        </w:rPr>
        <w:t>personal and organizational capacities</w:t>
      </w:r>
      <w:r w:rsidR="00F76D09" w:rsidRPr="00F76D09">
        <w:rPr>
          <w:color w:val="000000"/>
          <w:lang w:val="en-GB"/>
        </w:rPr>
        <w:t>, thanks to the continuous process of training, mentoring and learning.</w:t>
      </w:r>
    </w:p>
    <w:p w14:paraId="41389DFE" w14:textId="7A6A88FB" w:rsidR="00526D83" w:rsidRPr="00F76D09" w:rsidRDefault="00F76D09"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87936" behindDoc="0" locked="0" layoutInCell="1" allowOverlap="1" wp14:anchorId="040BB6DE" wp14:editId="3FBC5898">
            <wp:simplePos x="0" y="0"/>
            <wp:positionH relativeFrom="column">
              <wp:posOffset>493395</wp:posOffset>
            </wp:positionH>
            <wp:positionV relativeFrom="paragraph">
              <wp:posOffset>47625</wp:posOffset>
            </wp:positionV>
            <wp:extent cx="452120" cy="452120"/>
            <wp:effectExtent l="0" t="0" r="5080" b="0"/>
            <wp:wrapSquare wrapText="bothSides"/>
            <wp:docPr id="45" name="Gráfico 45" descr="Público de desti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mediafile_KCRt8B.svg"/>
                    <pic:cNvPicPr/>
                  </pic:nvPicPr>
                  <pic:blipFill>
                    <a:blip r:embed="rId198">
                      <a:extLst>
                        <a:ext uri="{28A0092B-C50C-407E-A947-70E740481C1C}">
                          <a14:useLocalDpi xmlns:a14="http://schemas.microsoft.com/office/drawing/2010/main" val="0"/>
                        </a:ext>
                        <a:ext uri="{96DAC541-7B7A-43D3-8B79-37D633B846F1}">
                          <asvg:svgBlip xmlns:asvg="http://schemas.microsoft.com/office/drawing/2016/SVG/main" r:embed="rId199"/>
                        </a:ext>
                      </a:extLst>
                    </a:blip>
                    <a:stretch>
                      <a:fillRect/>
                    </a:stretch>
                  </pic:blipFill>
                  <pic:spPr>
                    <a:xfrm>
                      <a:off x="0" y="0"/>
                      <a:ext cx="452120" cy="452120"/>
                    </a:xfrm>
                    <a:prstGeom prst="rect">
                      <a:avLst/>
                    </a:prstGeom>
                  </pic:spPr>
                </pic:pic>
              </a:graphicData>
            </a:graphic>
            <wp14:sizeRelH relativeFrom="page">
              <wp14:pctWidth>0</wp14:pctWidth>
            </wp14:sizeRelH>
            <wp14:sizeRelV relativeFrom="page">
              <wp14:pctHeight>0</wp14:pctHeight>
            </wp14:sizeRelV>
          </wp:anchor>
        </w:drawing>
      </w:r>
      <w:r w:rsidRPr="00F76D09">
        <w:rPr>
          <w:color w:val="000000"/>
          <w:lang w:val="en-GB"/>
        </w:rPr>
        <w:t xml:space="preserve">They provide a </w:t>
      </w:r>
      <w:r w:rsidRPr="00F76D09">
        <w:rPr>
          <w:b/>
          <w:color w:val="000000"/>
          <w:lang w:val="en-GB"/>
        </w:rPr>
        <w:t>practical experience</w:t>
      </w:r>
      <w:r w:rsidRPr="00F76D09">
        <w:rPr>
          <w:color w:val="000000"/>
          <w:lang w:val="en-GB"/>
        </w:rPr>
        <w:t xml:space="preserve"> working on </w:t>
      </w:r>
      <w:r w:rsidRPr="00F76D09">
        <w:rPr>
          <w:b/>
          <w:color w:val="000000"/>
          <w:lang w:val="en-GB"/>
        </w:rPr>
        <w:t>real cases</w:t>
      </w:r>
      <w:r w:rsidRPr="00F76D09">
        <w:rPr>
          <w:color w:val="000000"/>
          <w:lang w:val="en-GB"/>
        </w:rPr>
        <w:t>.</w:t>
      </w:r>
    </w:p>
    <w:p w14:paraId="3411E75A" w14:textId="227BCC9E" w:rsidR="00526D83" w:rsidRPr="00F76D09" w:rsidRDefault="00C60974"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88960" behindDoc="0" locked="0" layoutInCell="1" allowOverlap="1" wp14:anchorId="265C2BEA" wp14:editId="4473B8C9">
            <wp:simplePos x="0" y="0"/>
            <wp:positionH relativeFrom="column">
              <wp:posOffset>467360</wp:posOffset>
            </wp:positionH>
            <wp:positionV relativeFrom="paragraph">
              <wp:posOffset>170815</wp:posOffset>
            </wp:positionV>
            <wp:extent cx="481965" cy="481965"/>
            <wp:effectExtent l="0" t="0" r="0" b="0"/>
            <wp:wrapSquare wrapText="bothSides"/>
            <wp:docPr id="47" name="Gráfico 47" descr="Estrel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mediafile_MFVW5K.svg"/>
                    <pic:cNvPicPr/>
                  </pic:nvPicPr>
                  <pic:blipFill>
                    <a:blip r:embed="rId200">
                      <a:extLst>
                        <a:ext uri="{28A0092B-C50C-407E-A947-70E740481C1C}">
                          <a14:useLocalDpi xmlns:a14="http://schemas.microsoft.com/office/drawing/2010/main" val="0"/>
                        </a:ext>
                        <a:ext uri="{96DAC541-7B7A-43D3-8B79-37D633B846F1}">
                          <asvg:svgBlip xmlns:asvg="http://schemas.microsoft.com/office/drawing/2016/SVG/main" r:embed="rId201"/>
                        </a:ext>
                      </a:extLst>
                    </a:blip>
                    <a:stretch>
                      <a:fillRect/>
                    </a:stretch>
                  </pic:blipFill>
                  <pic:spPr>
                    <a:xfrm>
                      <a:off x="0" y="0"/>
                      <a:ext cx="481965" cy="481965"/>
                    </a:xfrm>
                    <a:prstGeom prst="rect">
                      <a:avLst/>
                    </a:prstGeom>
                  </pic:spPr>
                </pic:pic>
              </a:graphicData>
            </a:graphic>
            <wp14:sizeRelH relativeFrom="page">
              <wp14:pctWidth>0</wp14:pctWidth>
            </wp14:sizeRelH>
            <wp14:sizeRelV relativeFrom="page">
              <wp14:pctHeight>0</wp14:pctHeight>
            </wp14:sizeRelV>
          </wp:anchor>
        </w:drawing>
      </w:r>
      <w:r w:rsidR="00F76D09" w:rsidRPr="00F76D09">
        <w:rPr>
          <w:color w:val="000000"/>
          <w:lang w:val="en-GB"/>
        </w:rPr>
        <w:t xml:space="preserve">They facilitate the development of new </w:t>
      </w:r>
      <w:r w:rsidR="00F76D09" w:rsidRPr="00390A4F">
        <w:rPr>
          <w:b/>
          <w:color w:val="000000"/>
          <w:lang w:val="en-GB"/>
        </w:rPr>
        <w:t xml:space="preserve">specialists </w:t>
      </w:r>
      <w:r w:rsidR="00F76D09" w:rsidRPr="00F76D09">
        <w:rPr>
          <w:color w:val="000000"/>
          <w:lang w:val="en-GB"/>
        </w:rPr>
        <w:t xml:space="preserve">within the administration that will contribute to the </w:t>
      </w:r>
      <w:r w:rsidR="00F76D09" w:rsidRPr="00390A4F">
        <w:rPr>
          <w:b/>
          <w:color w:val="000000"/>
          <w:lang w:val="en-GB"/>
        </w:rPr>
        <w:t>internal dissemination</w:t>
      </w:r>
      <w:r w:rsidR="00F76D09" w:rsidRPr="00F76D09">
        <w:rPr>
          <w:color w:val="000000"/>
          <w:lang w:val="en-GB"/>
        </w:rPr>
        <w:t xml:space="preserve"> of the knowledge acquired.</w:t>
      </w:r>
    </w:p>
    <w:p w14:paraId="2DE52583" w14:textId="25BDF227" w:rsidR="00526D83" w:rsidRPr="00390A4F" w:rsidRDefault="00C60974"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89984" behindDoc="0" locked="0" layoutInCell="1" allowOverlap="1" wp14:anchorId="0147EE97" wp14:editId="12BA408B">
            <wp:simplePos x="0" y="0"/>
            <wp:positionH relativeFrom="column">
              <wp:posOffset>485531</wp:posOffset>
            </wp:positionH>
            <wp:positionV relativeFrom="paragraph">
              <wp:posOffset>132492</wp:posOffset>
            </wp:positionV>
            <wp:extent cx="471805" cy="471805"/>
            <wp:effectExtent l="0" t="0" r="0" b="0"/>
            <wp:wrapSquare wrapText="bothSides"/>
            <wp:docPr id="48" name="Gráfico 48" descr="Red 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mediafile_SpSNxQ.svg"/>
                    <pic:cNvPicPr/>
                  </pic:nvPicPr>
                  <pic:blipFill>
                    <a:blip r:embed="rId202">
                      <a:extLst>
                        <a:ext uri="{28A0092B-C50C-407E-A947-70E740481C1C}">
                          <a14:useLocalDpi xmlns:a14="http://schemas.microsoft.com/office/drawing/2010/main" val="0"/>
                        </a:ext>
                        <a:ext uri="{96DAC541-7B7A-43D3-8B79-37D633B846F1}">
                          <asvg:svgBlip xmlns:asvg="http://schemas.microsoft.com/office/drawing/2016/SVG/main" r:embed="rId203"/>
                        </a:ext>
                      </a:extLst>
                    </a:blip>
                    <a:stretch>
                      <a:fillRect/>
                    </a:stretch>
                  </pic:blipFill>
                  <pic:spPr>
                    <a:xfrm>
                      <a:off x="0" y="0"/>
                      <a:ext cx="471805" cy="471805"/>
                    </a:xfrm>
                    <a:prstGeom prst="rect">
                      <a:avLst/>
                    </a:prstGeom>
                  </pic:spPr>
                </pic:pic>
              </a:graphicData>
            </a:graphic>
            <wp14:sizeRelH relativeFrom="page">
              <wp14:pctWidth>0</wp14:pctWidth>
            </wp14:sizeRelH>
            <wp14:sizeRelV relativeFrom="page">
              <wp14:pctHeight>0</wp14:pctHeight>
            </wp14:sizeRelV>
          </wp:anchor>
        </w:drawing>
      </w:r>
      <w:r w:rsidR="00390A4F" w:rsidRPr="00390A4F">
        <w:rPr>
          <w:color w:val="000000"/>
          <w:lang w:val="en-GB"/>
        </w:rPr>
        <w:t xml:space="preserve">They contribute to expanding </w:t>
      </w:r>
      <w:r w:rsidR="00390A4F" w:rsidRPr="00390A4F">
        <w:rPr>
          <w:b/>
          <w:color w:val="000000"/>
          <w:lang w:val="en-GB"/>
        </w:rPr>
        <w:t xml:space="preserve">collaboration networks </w:t>
      </w:r>
      <w:r w:rsidR="00390A4F" w:rsidRPr="00390A4F">
        <w:rPr>
          <w:color w:val="000000"/>
          <w:lang w:val="en-GB"/>
        </w:rPr>
        <w:t>beyond the usual circles.</w:t>
      </w:r>
    </w:p>
    <w:p w14:paraId="4ADCE6CF" w14:textId="10C7B63F" w:rsidR="00526D83" w:rsidRPr="00390A4F" w:rsidRDefault="00C60974" w:rsidP="00D5466B">
      <w:pPr>
        <w:pBdr>
          <w:top w:val="nil"/>
          <w:left w:val="nil"/>
          <w:bottom w:val="nil"/>
          <w:right w:val="nil"/>
          <w:between w:val="nil"/>
        </w:pBdr>
        <w:spacing w:after="0"/>
        <w:ind w:left="1701"/>
        <w:rPr>
          <w:lang w:val="en-GB"/>
        </w:rPr>
      </w:pPr>
      <w:r>
        <w:rPr>
          <w:noProof/>
          <w:color w:val="000000"/>
        </w:rPr>
        <w:lastRenderedPageBreak/>
        <w:drawing>
          <wp:anchor distT="0" distB="0" distL="114300" distR="114300" simplePos="0" relativeHeight="251691008" behindDoc="0" locked="0" layoutInCell="1" allowOverlap="1" wp14:anchorId="4DC6C0E2" wp14:editId="0D611665">
            <wp:simplePos x="0" y="0"/>
            <wp:positionH relativeFrom="column">
              <wp:posOffset>483235</wp:posOffset>
            </wp:positionH>
            <wp:positionV relativeFrom="paragraph">
              <wp:posOffset>14605</wp:posOffset>
            </wp:positionV>
            <wp:extent cx="471805" cy="471805"/>
            <wp:effectExtent l="0" t="0" r="0" b="0"/>
            <wp:wrapSquare wrapText="bothSides"/>
            <wp:docPr id="49" name="Gráfico 49" descr="Diagrama de Ven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mediafile_cVWDM5.svg"/>
                    <pic:cNvPicPr/>
                  </pic:nvPicPr>
                  <pic:blipFill>
                    <a:blip r:embed="rId204">
                      <a:extLst>
                        <a:ext uri="{28A0092B-C50C-407E-A947-70E740481C1C}">
                          <a14:useLocalDpi xmlns:a14="http://schemas.microsoft.com/office/drawing/2010/main" val="0"/>
                        </a:ext>
                        <a:ext uri="{96DAC541-7B7A-43D3-8B79-37D633B846F1}">
                          <asvg:svgBlip xmlns:asvg="http://schemas.microsoft.com/office/drawing/2016/SVG/main" r:embed="rId205"/>
                        </a:ext>
                      </a:extLst>
                    </a:blip>
                    <a:stretch>
                      <a:fillRect/>
                    </a:stretch>
                  </pic:blipFill>
                  <pic:spPr>
                    <a:xfrm>
                      <a:off x="0" y="0"/>
                      <a:ext cx="471805" cy="471805"/>
                    </a:xfrm>
                    <a:prstGeom prst="rect">
                      <a:avLst/>
                    </a:prstGeom>
                  </pic:spPr>
                </pic:pic>
              </a:graphicData>
            </a:graphic>
            <wp14:sizeRelH relativeFrom="page">
              <wp14:pctWidth>0</wp14:pctWidth>
            </wp14:sizeRelH>
            <wp14:sizeRelV relativeFrom="page">
              <wp14:pctHeight>0</wp14:pctHeight>
            </wp14:sizeRelV>
          </wp:anchor>
        </w:drawing>
      </w:r>
      <w:r w:rsidR="00390A4F" w:rsidRPr="00390A4F">
        <w:rPr>
          <w:color w:val="000000"/>
          <w:lang w:val="en-GB"/>
        </w:rPr>
        <w:t xml:space="preserve">They help to </w:t>
      </w:r>
      <w:r w:rsidR="00390A4F" w:rsidRPr="00390A4F">
        <w:rPr>
          <w:b/>
          <w:color w:val="000000"/>
          <w:lang w:val="en-GB"/>
        </w:rPr>
        <w:t>better understand the data ecosystem</w:t>
      </w:r>
      <w:r w:rsidR="00390A4F" w:rsidRPr="00390A4F">
        <w:rPr>
          <w:color w:val="000000"/>
          <w:lang w:val="en-GB"/>
        </w:rPr>
        <w:t xml:space="preserve"> and the different agents that are part of it.</w:t>
      </w:r>
    </w:p>
    <w:p w14:paraId="14A31F93" w14:textId="638D4601" w:rsidR="00390A4F" w:rsidRPr="00390A4F" w:rsidRDefault="00390A4F" w:rsidP="00390A4F">
      <w:pPr>
        <w:spacing w:after="0"/>
        <w:rPr>
          <w:lang w:val="en-GB"/>
        </w:rPr>
      </w:pPr>
      <w:r w:rsidRPr="00390A4F">
        <w:rPr>
          <w:lang w:val="en-GB"/>
        </w:rPr>
        <w:t>An example of this model is the</w:t>
      </w:r>
      <w:r w:rsidRPr="00AB01C6">
        <w:rPr>
          <w:color w:val="7030A0"/>
          <w:lang w:val="en-GB"/>
        </w:rPr>
        <w:t xml:space="preserve"> </w:t>
      </w:r>
      <w:hyperlink r:id="rId206" w:history="1">
        <w:r w:rsidRPr="00AB01C6">
          <w:rPr>
            <w:color w:val="7030A0"/>
            <w:u w:val="single"/>
            <w:lang w:val="en-GB"/>
          </w:rPr>
          <w:t>data fellowship program carried out by the Australian government</w:t>
        </w:r>
      </w:hyperlink>
      <w:r w:rsidRPr="00390A4F">
        <w:rPr>
          <w:lang w:val="en-GB"/>
        </w:rPr>
        <w:t>, through which a series of public employees are selected to work with private organizations with the objective of developing their capabilities and solving specific problems in their respective home agencies.</w:t>
      </w:r>
    </w:p>
    <w:p w14:paraId="5DCBB761" w14:textId="3FF9667F" w:rsidR="00390A4F" w:rsidRPr="00390A4F" w:rsidRDefault="00390A4F" w:rsidP="00390A4F">
      <w:pPr>
        <w:spacing w:after="0"/>
        <w:rPr>
          <w:lang w:val="en-GB"/>
        </w:rPr>
      </w:pPr>
      <w:r>
        <w:rPr>
          <w:lang w:val="en-GB"/>
        </w:rPr>
        <w:t xml:space="preserve">In addition, </w:t>
      </w:r>
      <w:r w:rsidRPr="00390A4F">
        <w:rPr>
          <w:lang w:val="en-GB"/>
        </w:rPr>
        <w:t xml:space="preserve">the Local Development Research Institute (LDRI) promotes through the African Open Data Network (AODN) an </w:t>
      </w:r>
      <w:hyperlink r:id="rId207" w:history="1">
        <w:r w:rsidRPr="00AB01C6">
          <w:rPr>
            <w:color w:val="7030A0"/>
            <w:u w:val="single"/>
            <w:lang w:val="en-GB"/>
          </w:rPr>
          <w:t>open data fellowship program in four African countries</w:t>
        </w:r>
      </w:hyperlink>
      <w:r w:rsidRPr="00390A4F">
        <w:rPr>
          <w:lang w:val="en-GB"/>
        </w:rPr>
        <w:t xml:space="preserve"> (Kenya, Ethiopia, Sierra Leone and Rwanda). The objective is to support the different agencies, departments and ministries so that they are able to develop their full potential in areas such as agriculture, health, education, contracting or finance.</w:t>
      </w:r>
    </w:p>
    <w:p w14:paraId="74824A8A" w14:textId="7E36AF46" w:rsidR="00526D83" w:rsidRPr="00390A4F" w:rsidRDefault="00526D83" w:rsidP="00B7528C">
      <w:pPr>
        <w:pStyle w:val="Ttulo2"/>
        <w:ind w:left="0"/>
        <w:rPr>
          <w:lang w:val="en-GB"/>
        </w:rPr>
      </w:pPr>
      <w:bookmarkStart w:id="51" w:name="_Toc30777413"/>
      <w:bookmarkStart w:id="52" w:name="_Toc34134709"/>
      <w:r w:rsidRPr="00390A4F">
        <w:rPr>
          <w:lang w:val="en-GB"/>
        </w:rPr>
        <w:t>2.5 –</w:t>
      </w:r>
      <w:bookmarkEnd w:id="51"/>
      <w:r w:rsidR="00390A4F" w:rsidRPr="00390A4F">
        <w:rPr>
          <w:lang w:val="en-GB"/>
        </w:rPr>
        <w:t xml:space="preserve"> COOPERATIVES AND DATA COMMUNITIES</w:t>
      </w:r>
      <w:bookmarkEnd w:id="52"/>
    </w:p>
    <w:p w14:paraId="37C4D3E4" w14:textId="44244610" w:rsidR="00390A4F" w:rsidRPr="00390A4F" w:rsidRDefault="00390A4F" w:rsidP="00731FC7">
      <w:pPr>
        <w:spacing w:after="0"/>
        <w:rPr>
          <w:lang w:val="en-GB"/>
        </w:rPr>
      </w:pPr>
      <w:r w:rsidRPr="00390A4F">
        <w:rPr>
          <w:b/>
          <w:lang w:val="en-GB"/>
        </w:rPr>
        <w:t>Cooperative structures</w:t>
      </w:r>
      <w:r w:rsidRPr="00390A4F">
        <w:rPr>
          <w:lang w:val="en-GB"/>
        </w:rPr>
        <w:t xml:space="preserve"> can also be applied to the world of data in an attempt to rebalance the generally existing asymmetry between data holders and those who seek to use them in their services and products. These cooperatives are nothing more than </w:t>
      </w:r>
      <w:r w:rsidRPr="00390A4F">
        <w:rPr>
          <w:b/>
          <w:lang w:val="en-GB"/>
        </w:rPr>
        <w:t>data hubs</w:t>
      </w:r>
      <w:r w:rsidRPr="00390A4F">
        <w:rPr>
          <w:lang w:val="en-GB"/>
        </w:rPr>
        <w:t xml:space="preserve">, generally around a particular theme, which are governed by certain </w:t>
      </w:r>
      <w:r w:rsidRPr="00390A4F">
        <w:rPr>
          <w:b/>
          <w:lang w:val="en-GB"/>
        </w:rPr>
        <w:t>standards</w:t>
      </w:r>
      <w:r w:rsidRPr="00390A4F">
        <w:rPr>
          <w:lang w:val="en-GB"/>
        </w:rPr>
        <w:t xml:space="preserve"> similar to those of traditional cooperatives:</w:t>
      </w:r>
    </w:p>
    <w:p w14:paraId="5454E4CD" w14:textId="0248A9E8" w:rsidR="00526D83" w:rsidRPr="002951E4" w:rsidRDefault="00C60974" w:rsidP="00D5466B">
      <w:pPr>
        <w:pBdr>
          <w:top w:val="nil"/>
          <w:left w:val="nil"/>
          <w:bottom w:val="nil"/>
          <w:right w:val="nil"/>
          <w:between w:val="nil"/>
        </w:pBdr>
        <w:spacing w:after="0"/>
        <w:ind w:left="1701"/>
        <w:rPr>
          <w:lang w:val="en-GB"/>
        </w:rPr>
      </w:pPr>
      <w:r>
        <w:rPr>
          <w:b/>
          <w:noProof/>
          <w:color w:val="000000"/>
        </w:rPr>
        <w:drawing>
          <wp:anchor distT="0" distB="0" distL="114300" distR="114300" simplePos="0" relativeHeight="251692032" behindDoc="0" locked="0" layoutInCell="1" allowOverlap="1" wp14:anchorId="466BC457" wp14:editId="2DDF3CC5">
            <wp:simplePos x="0" y="0"/>
            <wp:positionH relativeFrom="column">
              <wp:posOffset>435610</wp:posOffset>
            </wp:positionH>
            <wp:positionV relativeFrom="paragraph">
              <wp:posOffset>124691</wp:posOffset>
            </wp:positionV>
            <wp:extent cx="431800" cy="431800"/>
            <wp:effectExtent l="0" t="0" r="0" b="0"/>
            <wp:wrapSquare wrapText="bothSides"/>
            <wp:docPr id="50" name="Gráfico 50" descr="Círculos con lín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mediafile_RkjQNj.svg"/>
                    <pic:cNvPicPr/>
                  </pic:nvPicPr>
                  <pic:blipFill>
                    <a:blip r:embed="rId208">
                      <a:extLst>
                        <a:ext uri="{28A0092B-C50C-407E-A947-70E740481C1C}">
                          <a14:useLocalDpi xmlns:a14="http://schemas.microsoft.com/office/drawing/2010/main" val="0"/>
                        </a:ext>
                        <a:ext uri="{96DAC541-7B7A-43D3-8B79-37D633B846F1}">
                          <asvg:svgBlip xmlns:asvg="http://schemas.microsoft.com/office/drawing/2016/SVG/main" r:embed="rId209"/>
                        </a:ext>
                      </a:extLst>
                    </a:blip>
                    <a:stretch>
                      <a:fillRect/>
                    </a:stretch>
                  </pic:blipFill>
                  <pic:spPr>
                    <a:xfrm>
                      <a:off x="0" y="0"/>
                      <a:ext cx="431800" cy="431800"/>
                    </a:xfrm>
                    <a:prstGeom prst="rect">
                      <a:avLst/>
                    </a:prstGeom>
                  </pic:spPr>
                </pic:pic>
              </a:graphicData>
            </a:graphic>
            <wp14:sizeRelH relativeFrom="page">
              <wp14:pctWidth>0</wp14:pctWidth>
            </wp14:sizeRelH>
            <wp14:sizeRelV relativeFrom="page">
              <wp14:pctHeight>0</wp14:pctHeight>
            </wp14:sizeRelV>
          </wp:anchor>
        </w:drawing>
      </w:r>
      <w:r w:rsidR="002951E4" w:rsidRPr="002951E4">
        <w:rPr>
          <w:b/>
          <w:color w:val="000000"/>
          <w:lang w:val="en-GB"/>
        </w:rPr>
        <w:t xml:space="preserve">Ownership </w:t>
      </w:r>
      <w:r w:rsidR="002951E4" w:rsidRPr="002951E4">
        <w:rPr>
          <w:color w:val="000000"/>
          <w:lang w:val="en-GB"/>
        </w:rPr>
        <w:t>is shared by all members, so accountability is also broader.</w:t>
      </w:r>
    </w:p>
    <w:p w14:paraId="57DA7D2A" w14:textId="6E639A0D" w:rsidR="00526D83" w:rsidRPr="002951E4" w:rsidRDefault="00C60974"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93056" behindDoc="0" locked="0" layoutInCell="1" allowOverlap="1" wp14:anchorId="264780E7" wp14:editId="17FB9100">
            <wp:simplePos x="0" y="0"/>
            <wp:positionH relativeFrom="column">
              <wp:posOffset>455930</wp:posOffset>
            </wp:positionH>
            <wp:positionV relativeFrom="paragraph">
              <wp:posOffset>152400</wp:posOffset>
            </wp:positionV>
            <wp:extent cx="411480" cy="411480"/>
            <wp:effectExtent l="0" t="0" r="0" b="0"/>
            <wp:wrapSquare wrapText="bothSides"/>
            <wp:docPr id="52" name="Gráfico 52" descr="Diama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mediafile_7kiFFl.svg"/>
                    <pic:cNvPicPr/>
                  </pic:nvPicPr>
                  <pic:blipFill>
                    <a:blip r:embed="rId210">
                      <a:extLst>
                        <a:ext uri="{28A0092B-C50C-407E-A947-70E740481C1C}">
                          <a14:useLocalDpi xmlns:a14="http://schemas.microsoft.com/office/drawing/2010/main" val="0"/>
                        </a:ext>
                        <a:ext uri="{96DAC541-7B7A-43D3-8B79-37D633B846F1}">
                          <asvg:svgBlip xmlns:asvg="http://schemas.microsoft.com/office/drawing/2016/SVG/main" r:embed="rId211"/>
                        </a:ext>
                      </a:extLst>
                    </a:blip>
                    <a:stretch>
                      <a:fillRect/>
                    </a:stretch>
                  </pic:blipFill>
                  <pic:spPr>
                    <a:xfrm>
                      <a:off x="0" y="0"/>
                      <a:ext cx="411480" cy="411480"/>
                    </a:xfrm>
                    <a:prstGeom prst="rect">
                      <a:avLst/>
                    </a:prstGeom>
                  </pic:spPr>
                </pic:pic>
              </a:graphicData>
            </a:graphic>
            <wp14:sizeRelH relativeFrom="page">
              <wp14:pctWidth>0</wp14:pctWidth>
            </wp14:sizeRelH>
            <wp14:sizeRelV relativeFrom="page">
              <wp14:pctHeight>0</wp14:pctHeight>
            </wp14:sizeRelV>
          </wp:anchor>
        </w:drawing>
      </w:r>
      <w:r w:rsidR="002951E4" w:rsidRPr="002951E4">
        <w:rPr>
          <w:color w:val="000000"/>
          <w:lang w:val="en-GB"/>
        </w:rPr>
        <w:t xml:space="preserve"> </w:t>
      </w:r>
      <w:r w:rsidR="002951E4">
        <w:rPr>
          <w:color w:val="000000"/>
          <w:lang w:val="en-GB"/>
        </w:rPr>
        <w:t xml:space="preserve">They </w:t>
      </w:r>
      <w:r w:rsidR="002951E4" w:rsidRPr="002951E4">
        <w:rPr>
          <w:color w:val="000000"/>
          <w:lang w:val="en-GB"/>
        </w:rPr>
        <w:t xml:space="preserve">represent all their members, </w:t>
      </w:r>
      <w:r w:rsidR="002951E4" w:rsidRPr="002951E4">
        <w:rPr>
          <w:b/>
          <w:color w:val="000000"/>
          <w:lang w:val="en-GB"/>
        </w:rPr>
        <w:t>defending their interests above all</w:t>
      </w:r>
      <w:r w:rsidR="002951E4" w:rsidRPr="002951E4">
        <w:rPr>
          <w:color w:val="000000"/>
          <w:lang w:val="en-GB"/>
        </w:rPr>
        <w:t xml:space="preserve"> and always seeking to create value for them.</w:t>
      </w:r>
      <w:r w:rsidR="002951E4">
        <w:rPr>
          <w:color w:val="000000"/>
          <w:lang w:val="en-GB"/>
        </w:rPr>
        <w:t xml:space="preserve"> </w:t>
      </w:r>
    </w:p>
    <w:p w14:paraId="74009549" w14:textId="682B0EEE" w:rsidR="00526D83" w:rsidRPr="002951E4" w:rsidRDefault="00C60974"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94080" behindDoc="0" locked="0" layoutInCell="1" allowOverlap="1" wp14:anchorId="3D25C370" wp14:editId="53FBD058">
            <wp:simplePos x="0" y="0"/>
            <wp:positionH relativeFrom="column">
              <wp:posOffset>455930</wp:posOffset>
            </wp:positionH>
            <wp:positionV relativeFrom="paragraph">
              <wp:posOffset>154305</wp:posOffset>
            </wp:positionV>
            <wp:extent cx="441960" cy="441960"/>
            <wp:effectExtent l="0" t="0" r="0" b="2540"/>
            <wp:wrapSquare wrapText="bothSides"/>
            <wp:docPr id="54" name="Gráfico 54" descr="Brazo musculos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mediafile_qfCjya.svg"/>
                    <pic:cNvPicPr/>
                  </pic:nvPicPr>
                  <pic:blipFill>
                    <a:blip r:embed="rId212">
                      <a:extLst>
                        <a:ext uri="{28A0092B-C50C-407E-A947-70E740481C1C}">
                          <a14:useLocalDpi xmlns:a14="http://schemas.microsoft.com/office/drawing/2010/main" val="0"/>
                        </a:ext>
                        <a:ext uri="{96DAC541-7B7A-43D3-8B79-37D633B846F1}">
                          <asvg:svgBlip xmlns:asvg="http://schemas.microsoft.com/office/drawing/2016/SVG/main" r:embed="rId213"/>
                        </a:ext>
                      </a:extLst>
                    </a:blip>
                    <a:stretch>
                      <a:fillRect/>
                    </a:stretch>
                  </pic:blipFill>
                  <pic:spPr>
                    <a:xfrm>
                      <a:off x="0" y="0"/>
                      <a:ext cx="441960" cy="441960"/>
                    </a:xfrm>
                    <a:prstGeom prst="rect">
                      <a:avLst/>
                    </a:prstGeom>
                  </pic:spPr>
                </pic:pic>
              </a:graphicData>
            </a:graphic>
            <wp14:sizeRelH relativeFrom="page">
              <wp14:pctWidth>0</wp14:pctWidth>
            </wp14:sizeRelH>
            <wp14:sizeRelV relativeFrom="page">
              <wp14:pctHeight>0</wp14:pctHeight>
            </wp14:sizeRelV>
          </wp:anchor>
        </w:drawing>
      </w:r>
      <w:r w:rsidR="002951E4" w:rsidRPr="002951E4">
        <w:rPr>
          <w:color w:val="000000"/>
          <w:lang w:val="en-GB"/>
        </w:rPr>
        <w:t xml:space="preserve">They enhance the </w:t>
      </w:r>
      <w:r w:rsidR="002951E4" w:rsidRPr="002951E4">
        <w:rPr>
          <w:b/>
          <w:color w:val="000000"/>
          <w:lang w:val="en-GB"/>
        </w:rPr>
        <w:t>bargaining power</w:t>
      </w:r>
      <w:r w:rsidR="002951E4" w:rsidRPr="002951E4">
        <w:rPr>
          <w:color w:val="000000"/>
          <w:lang w:val="en-GB"/>
        </w:rPr>
        <w:t xml:space="preserve"> of the group against their possible individual positions, so they are a useful tool when you want to generate some kind of influence or change.</w:t>
      </w:r>
    </w:p>
    <w:p w14:paraId="556C1A56" w14:textId="56E8B799" w:rsidR="00526D83" w:rsidRPr="002951E4" w:rsidRDefault="005E2CE1" w:rsidP="00D5466B">
      <w:pPr>
        <w:pBdr>
          <w:top w:val="nil"/>
          <w:left w:val="nil"/>
          <w:bottom w:val="nil"/>
          <w:right w:val="nil"/>
          <w:between w:val="nil"/>
        </w:pBdr>
        <w:spacing w:after="0"/>
        <w:ind w:left="1701"/>
        <w:rPr>
          <w:lang w:val="en-GB"/>
        </w:rPr>
      </w:pPr>
      <w:bookmarkStart w:id="53" w:name="_GoBack"/>
      <w:r>
        <w:rPr>
          <w:noProof/>
          <w:color w:val="000000"/>
        </w:rPr>
        <w:lastRenderedPageBreak/>
        <w:drawing>
          <wp:anchor distT="0" distB="0" distL="114300" distR="114300" simplePos="0" relativeHeight="251695104" behindDoc="0" locked="0" layoutInCell="1" allowOverlap="1" wp14:anchorId="454A5B55" wp14:editId="76D61A89">
            <wp:simplePos x="0" y="0"/>
            <wp:positionH relativeFrom="column">
              <wp:posOffset>471170</wp:posOffset>
            </wp:positionH>
            <wp:positionV relativeFrom="paragraph">
              <wp:posOffset>0</wp:posOffset>
            </wp:positionV>
            <wp:extent cx="492125" cy="492125"/>
            <wp:effectExtent l="0" t="0" r="3175" b="0"/>
            <wp:wrapSquare wrapText="bothSides"/>
            <wp:docPr id="55" name="Gráfico 55" descr="Birr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mediafile_Yks2wC.svg"/>
                    <pic:cNvPicPr/>
                  </pic:nvPicPr>
                  <pic:blipFill>
                    <a:blip r:embed="rId214">
                      <a:extLst>
                        <a:ext uri="{28A0092B-C50C-407E-A947-70E740481C1C}">
                          <a14:useLocalDpi xmlns:a14="http://schemas.microsoft.com/office/drawing/2010/main" val="0"/>
                        </a:ext>
                        <a:ext uri="{96DAC541-7B7A-43D3-8B79-37D633B846F1}">
                          <asvg:svgBlip xmlns:asvg="http://schemas.microsoft.com/office/drawing/2016/SVG/main" r:embed="rId215"/>
                        </a:ext>
                      </a:extLst>
                    </a:blip>
                    <a:stretch>
                      <a:fillRect/>
                    </a:stretch>
                  </pic:blipFill>
                  <pic:spPr>
                    <a:xfrm>
                      <a:off x="0" y="0"/>
                      <a:ext cx="492125" cy="492125"/>
                    </a:xfrm>
                    <a:prstGeom prst="rect">
                      <a:avLst/>
                    </a:prstGeom>
                  </pic:spPr>
                </pic:pic>
              </a:graphicData>
            </a:graphic>
            <wp14:sizeRelH relativeFrom="page">
              <wp14:pctWidth>0</wp14:pctWidth>
            </wp14:sizeRelH>
            <wp14:sizeRelV relativeFrom="page">
              <wp14:pctHeight>0</wp14:pctHeight>
            </wp14:sizeRelV>
          </wp:anchor>
        </w:drawing>
      </w:r>
      <w:bookmarkEnd w:id="53"/>
      <w:r w:rsidR="002951E4" w:rsidRPr="002951E4">
        <w:rPr>
          <w:color w:val="000000"/>
          <w:lang w:val="en-GB"/>
        </w:rPr>
        <w:t xml:space="preserve">They also serve as a </w:t>
      </w:r>
      <w:r w:rsidR="002951E4" w:rsidRPr="002951E4">
        <w:rPr>
          <w:b/>
          <w:color w:val="000000"/>
          <w:lang w:val="en-GB"/>
        </w:rPr>
        <w:t>tool for learning</w:t>
      </w:r>
      <w:r w:rsidR="002951E4" w:rsidRPr="002951E4">
        <w:rPr>
          <w:color w:val="000000"/>
          <w:lang w:val="en-GB"/>
        </w:rPr>
        <w:t xml:space="preserve"> and </w:t>
      </w:r>
      <w:r w:rsidR="002951E4" w:rsidRPr="002951E4">
        <w:rPr>
          <w:b/>
          <w:color w:val="000000"/>
          <w:lang w:val="en-GB"/>
        </w:rPr>
        <w:t>empowerment</w:t>
      </w:r>
      <w:r w:rsidR="002951E4" w:rsidRPr="002951E4">
        <w:rPr>
          <w:color w:val="000000"/>
          <w:lang w:val="en-GB"/>
        </w:rPr>
        <w:t xml:space="preserve"> on the use of their own and third parties</w:t>
      </w:r>
      <w:r w:rsidR="002951E4">
        <w:rPr>
          <w:color w:val="000000"/>
          <w:lang w:val="en-GB"/>
        </w:rPr>
        <w:t xml:space="preserve"> </w:t>
      </w:r>
      <w:r w:rsidR="002951E4" w:rsidRPr="002951E4">
        <w:rPr>
          <w:color w:val="000000"/>
          <w:lang w:val="en-GB"/>
        </w:rPr>
        <w:t>data</w:t>
      </w:r>
      <w:r w:rsidR="002951E4">
        <w:rPr>
          <w:color w:val="000000"/>
          <w:lang w:val="en-GB"/>
        </w:rPr>
        <w:t>.</w:t>
      </w:r>
      <w:r w:rsidR="002951E4" w:rsidRPr="002951E4">
        <w:rPr>
          <w:color w:val="000000"/>
          <w:lang w:val="en-GB"/>
        </w:rPr>
        <w:t xml:space="preserve"> </w:t>
      </w:r>
    </w:p>
    <w:p w14:paraId="5776DB01" w14:textId="78DFB613" w:rsidR="002951E4" w:rsidRPr="002951E4" w:rsidRDefault="002951E4" w:rsidP="002951E4">
      <w:pPr>
        <w:spacing w:after="0"/>
        <w:rPr>
          <w:lang w:val="en-GB"/>
        </w:rPr>
      </w:pPr>
      <w:r w:rsidRPr="002951E4">
        <w:rPr>
          <w:lang w:val="en-GB"/>
        </w:rPr>
        <w:t xml:space="preserve">For example, </w:t>
      </w:r>
      <w:hyperlink r:id="rId216" w:history="1">
        <w:r w:rsidRPr="00AB01C6">
          <w:rPr>
            <w:color w:val="7030A0"/>
            <w:u w:val="single"/>
            <w:lang w:val="en-GB"/>
          </w:rPr>
          <w:t>in the United States almost 100 million people are members of nonprofit credit unions</w:t>
        </w:r>
      </w:hyperlink>
      <w:r w:rsidRPr="002951E4">
        <w:rPr>
          <w:lang w:val="en-GB"/>
        </w:rPr>
        <w:t>. These institutions are owned by their members and are responsible for securely managing their financial data when representing them before third parties in a wide variety of transactions, such as investments or insurance.</w:t>
      </w:r>
    </w:p>
    <w:p w14:paraId="7DCEA1D4" w14:textId="13F41C05" w:rsidR="002951E4" w:rsidRPr="002951E4" w:rsidRDefault="002951E4" w:rsidP="002951E4">
      <w:pPr>
        <w:spacing w:after="0"/>
        <w:rPr>
          <w:lang w:val="en-GB"/>
        </w:rPr>
      </w:pPr>
      <w:r w:rsidRPr="002951E4">
        <w:rPr>
          <w:lang w:val="en-GB"/>
        </w:rPr>
        <w:t xml:space="preserve">Another good example is </w:t>
      </w:r>
      <w:hyperlink r:id="rId217">
        <w:r w:rsidRPr="00AB01C6">
          <w:rPr>
            <w:color w:val="7030A0"/>
            <w:u w:val="single"/>
            <w:lang w:val="en-GB"/>
          </w:rPr>
          <w:t>MIDATA.coop</w:t>
        </w:r>
      </w:hyperlink>
      <w:r w:rsidRPr="002951E4">
        <w:rPr>
          <w:lang w:val="en-GB"/>
        </w:rPr>
        <w:t xml:space="preserve">, a Swiss cooperative that makes easier for people to control their medical data. Members of the cooperative can collect a variety of information related to their health - such as hospital medical records or data collected by their sports watches - and encrypt and store them securely and then share them with whoever they want: their personal doctor, friends and family or with clinical trials and research in which </w:t>
      </w:r>
      <w:r>
        <w:rPr>
          <w:lang w:val="en-GB"/>
        </w:rPr>
        <w:t xml:space="preserve">these </w:t>
      </w:r>
      <w:r w:rsidRPr="002951E4">
        <w:rPr>
          <w:lang w:val="en-GB"/>
        </w:rPr>
        <w:t>data may be useful.</w:t>
      </w:r>
    </w:p>
    <w:p w14:paraId="0E71F751" w14:textId="64308D41" w:rsidR="00526D83" w:rsidRPr="002951E4" w:rsidRDefault="00526D83" w:rsidP="00B7528C">
      <w:pPr>
        <w:pStyle w:val="Ttulo2"/>
        <w:ind w:left="0"/>
        <w:rPr>
          <w:lang w:val="en-GB"/>
        </w:rPr>
      </w:pPr>
      <w:bookmarkStart w:id="54" w:name="_Toc30777414"/>
      <w:bookmarkStart w:id="55" w:name="_Toc34134710"/>
      <w:r w:rsidRPr="002951E4">
        <w:rPr>
          <w:lang w:val="en-GB"/>
        </w:rPr>
        <w:t>2.6 –</w:t>
      </w:r>
      <w:bookmarkEnd w:id="54"/>
      <w:r w:rsidR="002951E4" w:rsidRPr="002951E4">
        <w:rPr>
          <w:lang w:val="en-GB"/>
        </w:rPr>
        <w:t xml:space="preserve"> CHALLENGES AND COMPETITIONS</w:t>
      </w:r>
      <w:bookmarkEnd w:id="55"/>
    </w:p>
    <w:p w14:paraId="20C0ACC8" w14:textId="29F25EBB" w:rsidR="002951E4" w:rsidRDefault="002951E4" w:rsidP="00731FC7">
      <w:pPr>
        <w:spacing w:after="0"/>
        <w:rPr>
          <w:lang w:val="en-GB"/>
        </w:rPr>
      </w:pPr>
      <w:r w:rsidRPr="002951E4">
        <w:rPr>
          <w:lang w:val="en-GB"/>
        </w:rPr>
        <w:t xml:space="preserve">It is not always easy to show the impact of open data. When we organize some kind of competition, whether offering or not an </w:t>
      </w:r>
      <w:r w:rsidRPr="002951E4">
        <w:rPr>
          <w:b/>
          <w:lang w:val="en-GB"/>
        </w:rPr>
        <w:t>incentive</w:t>
      </w:r>
      <w:r w:rsidRPr="002951E4">
        <w:rPr>
          <w:lang w:val="en-GB"/>
        </w:rPr>
        <w:t xml:space="preserve"> in the form of a prize, what we are really doing is establishing an open innovation process that will help us understand how that data can be used and for what.</w:t>
      </w:r>
    </w:p>
    <w:p w14:paraId="448CF8E4" w14:textId="77777777" w:rsidR="002951E4" w:rsidRPr="00433274" w:rsidRDefault="002951E4" w:rsidP="00731FC7">
      <w:pPr>
        <w:spacing w:after="0"/>
        <w:rPr>
          <w:lang w:val="en-GB"/>
        </w:rPr>
      </w:pPr>
      <w:r w:rsidRPr="002951E4">
        <w:rPr>
          <w:lang w:val="en-GB"/>
        </w:rPr>
        <w:t xml:space="preserve">This type of action will be particularly useful when we are in an area of knowledge in which there are opportunities but it is still little explored and also generally requires the participation of different agents in order to have a complete vision. In that environment it is unlikely that someone wants to take risks developing their ideas when there is still no proven market for them. That is precisely when this type of collaboration model can be especially useful. </w:t>
      </w:r>
      <w:r w:rsidRPr="00433274">
        <w:rPr>
          <w:lang w:val="en-GB"/>
        </w:rPr>
        <w:t>Other advantages of this model are:</w:t>
      </w:r>
    </w:p>
    <w:p w14:paraId="4E02EAE3" w14:textId="60F0DCA7" w:rsidR="00526D83" w:rsidRPr="005A4111" w:rsidRDefault="005E2CE1" w:rsidP="00D5466B">
      <w:pPr>
        <w:pBdr>
          <w:top w:val="nil"/>
          <w:left w:val="nil"/>
          <w:bottom w:val="nil"/>
          <w:right w:val="nil"/>
          <w:between w:val="nil"/>
        </w:pBdr>
        <w:spacing w:after="0"/>
        <w:ind w:left="1701"/>
        <w:rPr>
          <w:lang w:val="en-GB"/>
        </w:rPr>
      </w:pPr>
      <w:r>
        <w:rPr>
          <w:b/>
          <w:noProof/>
          <w:color w:val="000000"/>
        </w:rPr>
        <w:drawing>
          <wp:anchor distT="0" distB="0" distL="114300" distR="114300" simplePos="0" relativeHeight="251698176" behindDoc="0" locked="0" layoutInCell="1" allowOverlap="1" wp14:anchorId="70D7D7CF" wp14:editId="47A4A292">
            <wp:simplePos x="0" y="0"/>
            <wp:positionH relativeFrom="column">
              <wp:posOffset>455930</wp:posOffset>
            </wp:positionH>
            <wp:positionV relativeFrom="paragraph">
              <wp:posOffset>149225</wp:posOffset>
            </wp:positionV>
            <wp:extent cx="502285" cy="502285"/>
            <wp:effectExtent l="0" t="0" r="5715" b="0"/>
            <wp:wrapSquare wrapText="bothSides"/>
            <wp:docPr id="56" name="Gráfico 56" descr="Usuar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mediafile_QdnERt.svg"/>
                    <pic:cNvPicPr/>
                  </pic:nvPicPr>
                  <pic:blipFill>
                    <a:blip r:embed="rId218">
                      <a:extLst>
                        <a:ext uri="{28A0092B-C50C-407E-A947-70E740481C1C}">
                          <a14:useLocalDpi xmlns:a14="http://schemas.microsoft.com/office/drawing/2010/main" val="0"/>
                        </a:ext>
                        <a:ext uri="{96DAC541-7B7A-43D3-8B79-37D633B846F1}">
                          <asvg:svgBlip xmlns:asvg="http://schemas.microsoft.com/office/drawing/2016/SVG/main" r:embed="rId219"/>
                        </a:ext>
                      </a:extLst>
                    </a:blip>
                    <a:stretch>
                      <a:fillRect/>
                    </a:stretch>
                  </pic:blipFill>
                  <pic:spPr>
                    <a:xfrm>
                      <a:off x="0" y="0"/>
                      <a:ext cx="502285" cy="502285"/>
                    </a:xfrm>
                    <a:prstGeom prst="rect">
                      <a:avLst/>
                    </a:prstGeom>
                  </pic:spPr>
                </pic:pic>
              </a:graphicData>
            </a:graphic>
            <wp14:sizeRelH relativeFrom="page">
              <wp14:pctWidth>0</wp14:pctWidth>
            </wp14:sizeRelH>
            <wp14:sizeRelV relativeFrom="page">
              <wp14:pctHeight>0</wp14:pctHeight>
            </wp14:sizeRelV>
          </wp:anchor>
        </w:drawing>
      </w:r>
      <w:r w:rsidR="005A4111">
        <w:rPr>
          <w:b/>
          <w:color w:val="000000"/>
          <w:lang w:val="en-GB"/>
        </w:rPr>
        <w:t>T</w:t>
      </w:r>
      <w:r w:rsidR="005A4111" w:rsidRPr="005A4111">
        <w:rPr>
          <w:b/>
          <w:color w:val="000000"/>
          <w:lang w:val="en-GB"/>
        </w:rPr>
        <w:t>he focus is on people</w:t>
      </w:r>
      <w:r w:rsidR="005A4111" w:rsidRPr="005A4111">
        <w:rPr>
          <w:color w:val="000000"/>
          <w:lang w:val="en-GB"/>
        </w:rPr>
        <w:t xml:space="preserve"> from the beginning of the process, </w:t>
      </w:r>
      <w:r w:rsidR="00AB01C6">
        <w:rPr>
          <w:color w:val="000000"/>
          <w:lang w:val="en-GB"/>
        </w:rPr>
        <w:t>because</w:t>
      </w:r>
      <w:r w:rsidR="005A4111" w:rsidRPr="005A4111">
        <w:rPr>
          <w:color w:val="000000"/>
          <w:lang w:val="en-GB"/>
        </w:rPr>
        <w:t xml:space="preserve"> it starts </w:t>
      </w:r>
      <w:r w:rsidR="00AB01C6">
        <w:rPr>
          <w:color w:val="000000"/>
          <w:lang w:val="en-GB"/>
        </w:rPr>
        <w:t>considering</w:t>
      </w:r>
      <w:r w:rsidR="005A4111" w:rsidRPr="005A4111">
        <w:rPr>
          <w:color w:val="000000"/>
          <w:lang w:val="en-GB"/>
        </w:rPr>
        <w:t xml:space="preserve"> a real need </w:t>
      </w:r>
      <w:r w:rsidR="005A4111">
        <w:rPr>
          <w:color w:val="000000"/>
          <w:lang w:val="en-GB"/>
        </w:rPr>
        <w:t xml:space="preserve">that </w:t>
      </w:r>
      <w:r w:rsidR="00AB01C6">
        <w:rPr>
          <w:color w:val="000000"/>
          <w:lang w:val="en-GB"/>
        </w:rPr>
        <w:t>seek</w:t>
      </w:r>
      <w:r w:rsidR="005A4111" w:rsidRPr="005A4111">
        <w:rPr>
          <w:color w:val="000000"/>
          <w:lang w:val="en-GB"/>
        </w:rPr>
        <w:t xml:space="preserve"> a solution based on the appropriate use of the available data.</w:t>
      </w:r>
    </w:p>
    <w:p w14:paraId="60F9E70C" w14:textId="1E27C9C1" w:rsidR="00526D83" w:rsidRPr="005A4111" w:rsidRDefault="005E2CE1" w:rsidP="00D5466B">
      <w:pPr>
        <w:pBdr>
          <w:top w:val="nil"/>
          <w:left w:val="nil"/>
          <w:bottom w:val="nil"/>
          <w:right w:val="nil"/>
          <w:between w:val="nil"/>
        </w:pBdr>
        <w:spacing w:after="0"/>
        <w:ind w:left="1701"/>
        <w:rPr>
          <w:lang w:val="en-GB"/>
        </w:rPr>
      </w:pPr>
      <w:r>
        <w:rPr>
          <w:noProof/>
          <w:color w:val="000000"/>
        </w:rPr>
        <w:lastRenderedPageBreak/>
        <w:drawing>
          <wp:anchor distT="0" distB="0" distL="114300" distR="114300" simplePos="0" relativeHeight="251697152" behindDoc="0" locked="0" layoutInCell="1" allowOverlap="1" wp14:anchorId="545F6CEE" wp14:editId="12370D0C">
            <wp:simplePos x="0" y="0"/>
            <wp:positionH relativeFrom="column">
              <wp:posOffset>471170</wp:posOffset>
            </wp:positionH>
            <wp:positionV relativeFrom="paragraph">
              <wp:posOffset>11430</wp:posOffset>
            </wp:positionV>
            <wp:extent cx="492125" cy="492125"/>
            <wp:effectExtent l="0" t="0" r="3175" b="3175"/>
            <wp:wrapSquare wrapText="bothSides"/>
            <wp:docPr id="58" name="Gráfico 58" descr="Bombilla y láp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mediafile_C2U0u0.svg"/>
                    <pic:cNvPicPr/>
                  </pic:nvPicPr>
                  <pic:blipFill>
                    <a:blip r:embed="rId220">
                      <a:extLst>
                        <a:ext uri="{28A0092B-C50C-407E-A947-70E740481C1C}">
                          <a14:useLocalDpi xmlns:a14="http://schemas.microsoft.com/office/drawing/2010/main" val="0"/>
                        </a:ext>
                        <a:ext uri="{96DAC541-7B7A-43D3-8B79-37D633B846F1}">
                          <asvg:svgBlip xmlns:asvg="http://schemas.microsoft.com/office/drawing/2016/SVG/main" r:embed="rId221"/>
                        </a:ext>
                      </a:extLst>
                    </a:blip>
                    <a:stretch>
                      <a:fillRect/>
                    </a:stretch>
                  </pic:blipFill>
                  <pic:spPr>
                    <a:xfrm>
                      <a:off x="0" y="0"/>
                      <a:ext cx="492125" cy="492125"/>
                    </a:xfrm>
                    <a:prstGeom prst="rect">
                      <a:avLst/>
                    </a:prstGeom>
                  </pic:spPr>
                </pic:pic>
              </a:graphicData>
            </a:graphic>
            <wp14:sizeRelH relativeFrom="page">
              <wp14:pctWidth>0</wp14:pctWidth>
            </wp14:sizeRelH>
            <wp14:sizeRelV relativeFrom="page">
              <wp14:pctHeight>0</wp14:pctHeight>
            </wp14:sizeRelV>
          </wp:anchor>
        </w:drawing>
      </w:r>
      <w:r w:rsidR="00526D83" w:rsidRPr="005A4111">
        <w:rPr>
          <w:color w:val="000000"/>
          <w:lang w:val="en-GB"/>
        </w:rPr>
        <w:t xml:space="preserve"> </w:t>
      </w:r>
      <w:r w:rsidR="005A4111" w:rsidRPr="005A4111">
        <w:rPr>
          <w:b/>
          <w:color w:val="000000"/>
          <w:lang w:val="en-GB"/>
        </w:rPr>
        <w:t>Dynamic and innovative environments</w:t>
      </w:r>
      <w:r w:rsidR="005A4111" w:rsidRPr="005A4111">
        <w:rPr>
          <w:color w:val="000000"/>
          <w:lang w:val="en-GB"/>
        </w:rPr>
        <w:t xml:space="preserve"> are created</w:t>
      </w:r>
      <w:r w:rsidR="005A4111">
        <w:rPr>
          <w:color w:val="000000"/>
          <w:lang w:val="en-GB"/>
        </w:rPr>
        <w:t>,</w:t>
      </w:r>
      <w:r w:rsidR="005A4111" w:rsidRPr="005A4111">
        <w:rPr>
          <w:color w:val="000000"/>
          <w:lang w:val="en-GB"/>
        </w:rPr>
        <w:t xml:space="preserve"> in which ideas are constantly tested and evolved, using agile approaches and methodologies typical of the </w:t>
      </w:r>
      <w:hyperlink r:id="rId222" w:history="1">
        <w:r w:rsidR="005A4111" w:rsidRPr="00131A70">
          <w:rPr>
            <w:color w:val="7030A0"/>
            <w:u w:val="single"/>
            <w:lang w:val="en-GB"/>
          </w:rPr>
          <w:t>Lean Startup philosophy</w:t>
        </w:r>
      </w:hyperlink>
      <w:r w:rsidR="005A4111" w:rsidRPr="005A4111">
        <w:rPr>
          <w:color w:val="000000"/>
          <w:lang w:val="en-GB"/>
        </w:rPr>
        <w:t>.</w:t>
      </w:r>
    </w:p>
    <w:p w14:paraId="6E21965E" w14:textId="3857BE16" w:rsidR="00526D83" w:rsidRPr="005A4111" w:rsidRDefault="005E2CE1" w:rsidP="00D5466B">
      <w:pPr>
        <w:pBdr>
          <w:top w:val="nil"/>
          <w:left w:val="nil"/>
          <w:bottom w:val="nil"/>
          <w:right w:val="nil"/>
          <w:between w:val="nil"/>
        </w:pBdr>
        <w:spacing w:after="0"/>
        <w:ind w:left="1701"/>
        <w:rPr>
          <w:lang w:val="en-GB"/>
        </w:rPr>
      </w:pPr>
      <w:r>
        <w:rPr>
          <w:noProof/>
          <w:color w:val="000000"/>
        </w:rPr>
        <w:drawing>
          <wp:anchor distT="0" distB="0" distL="114300" distR="114300" simplePos="0" relativeHeight="251696128" behindDoc="0" locked="0" layoutInCell="1" allowOverlap="1" wp14:anchorId="22E1A574" wp14:editId="2D2BE1A5">
            <wp:simplePos x="0" y="0"/>
            <wp:positionH relativeFrom="column">
              <wp:posOffset>455930</wp:posOffset>
            </wp:positionH>
            <wp:positionV relativeFrom="paragraph">
              <wp:posOffset>158115</wp:posOffset>
            </wp:positionV>
            <wp:extent cx="481965" cy="481965"/>
            <wp:effectExtent l="0" t="0" r="635" b="635"/>
            <wp:wrapSquare wrapText="bothSides"/>
            <wp:docPr id="59" name="Gráfico 59" descr="Brind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mediafile_qk5Ayw.svg"/>
                    <pic:cNvPicPr/>
                  </pic:nvPicPr>
                  <pic:blipFill>
                    <a:blip r:embed="rId223">
                      <a:extLst>
                        <a:ext uri="{28A0092B-C50C-407E-A947-70E740481C1C}">
                          <a14:useLocalDpi xmlns:a14="http://schemas.microsoft.com/office/drawing/2010/main" val="0"/>
                        </a:ext>
                        <a:ext uri="{96DAC541-7B7A-43D3-8B79-37D633B846F1}">
                          <asvg:svgBlip xmlns:asvg="http://schemas.microsoft.com/office/drawing/2016/SVG/main" r:embed="rId224"/>
                        </a:ext>
                      </a:extLst>
                    </a:blip>
                    <a:stretch>
                      <a:fillRect/>
                    </a:stretch>
                  </pic:blipFill>
                  <pic:spPr>
                    <a:xfrm>
                      <a:off x="0" y="0"/>
                      <a:ext cx="481965" cy="481965"/>
                    </a:xfrm>
                    <a:prstGeom prst="rect">
                      <a:avLst/>
                    </a:prstGeom>
                  </pic:spPr>
                </pic:pic>
              </a:graphicData>
            </a:graphic>
            <wp14:sizeRelH relativeFrom="page">
              <wp14:pctWidth>0</wp14:pctWidth>
            </wp14:sizeRelH>
            <wp14:sizeRelV relativeFrom="page">
              <wp14:pctHeight>0</wp14:pctHeight>
            </wp14:sizeRelV>
          </wp:anchor>
        </w:drawing>
      </w:r>
      <w:r w:rsidR="005A4111" w:rsidRPr="005A4111">
        <w:rPr>
          <w:color w:val="000000"/>
          <w:lang w:val="en-GB"/>
        </w:rPr>
        <w:t>Th</w:t>
      </w:r>
      <w:r w:rsidR="005A4111">
        <w:rPr>
          <w:color w:val="000000"/>
          <w:lang w:val="en-GB"/>
        </w:rPr>
        <w:t>ey</w:t>
      </w:r>
      <w:r w:rsidR="005A4111" w:rsidRPr="005A4111">
        <w:rPr>
          <w:color w:val="000000"/>
          <w:lang w:val="en-GB"/>
        </w:rPr>
        <w:t xml:space="preserve"> encourage not only competition but also </w:t>
      </w:r>
      <w:r w:rsidR="005A4111" w:rsidRPr="005A4111">
        <w:rPr>
          <w:b/>
          <w:color w:val="000000"/>
          <w:lang w:val="en-GB"/>
        </w:rPr>
        <w:t>collaboration</w:t>
      </w:r>
      <w:r w:rsidR="005A4111" w:rsidRPr="005A4111">
        <w:rPr>
          <w:color w:val="000000"/>
          <w:lang w:val="en-GB"/>
        </w:rPr>
        <w:t>, by bringing together people and groups with common interests and profiles that complement each other in a highly interactive environment in which new relationships and contacts are created with great ease.</w:t>
      </w:r>
    </w:p>
    <w:p w14:paraId="53E74DA9" w14:textId="37DA35DD" w:rsidR="005A4111" w:rsidRPr="005A4111" w:rsidRDefault="005A4111" w:rsidP="005A4111">
      <w:pPr>
        <w:spacing w:after="0"/>
        <w:rPr>
          <w:lang w:val="en-GB"/>
        </w:rPr>
      </w:pPr>
      <w:r w:rsidRPr="005A4111">
        <w:rPr>
          <w:lang w:val="en-GB"/>
        </w:rPr>
        <w:t xml:space="preserve">There are hundreds of examples of contests or </w:t>
      </w:r>
      <w:hyperlink r:id="rId225">
        <w:r w:rsidRPr="00131A70">
          <w:rPr>
            <w:color w:val="7030A0"/>
            <w:u w:val="single"/>
            <w:lang w:val="en-GB"/>
          </w:rPr>
          <w:t>hackathons</w:t>
        </w:r>
      </w:hyperlink>
      <w:r w:rsidRPr="005A4111">
        <w:rPr>
          <w:lang w:val="en-GB"/>
        </w:rPr>
        <w:t xml:space="preserve">, but there are also other more evolved and formal models such as the </w:t>
      </w:r>
      <w:hyperlink r:id="rId226" w:history="1">
        <w:r w:rsidRPr="00131A70">
          <w:rPr>
            <w:color w:val="7030A0"/>
            <w:u w:val="single"/>
            <w:lang w:val="en-GB"/>
          </w:rPr>
          <w:t>Aporta Challenge</w:t>
        </w:r>
      </w:hyperlink>
      <w:r w:rsidRPr="005A4111">
        <w:rPr>
          <w:lang w:val="en-GB"/>
        </w:rPr>
        <w:t xml:space="preserve">, organized by the national open data initiative data.gob.es, or the </w:t>
      </w:r>
      <w:hyperlink r:id="rId227">
        <w:r w:rsidR="002E021F" w:rsidRPr="00131A70">
          <w:rPr>
            <w:color w:val="7030A0"/>
            <w:u w:val="single"/>
            <w:lang w:val="en-GB"/>
          </w:rPr>
          <w:t>Open Data Challenge Series</w:t>
        </w:r>
      </w:hyperlink>
      <w:r w:rsidR="002E021F">
        <w:rPr>
          <w:lang w:val="en-GB"/>
        </w:rPr>
        <w:t xml:space="preserve"> c</w:t>
      </w:r>
      <w:r w:rsidRPr="005A4111">
        <w:rPr>
          <w:lang w:val="en-GB"/>
        </w:rPr>
        <w:t>arried out by Nesta and the Open Data Institute (ODI) to explore innovative solutions in areas as diverse and relevant as work, cultural heritage, food, housing, education, energy or crime.</w:t>
      </w:r>
    </w:p>
    <w:p w14:paraId="0A8F2999" w14:textId="00F64422" w:rsidR="002E021F" w:rsidRPr="002E021F" w:rsidRDefault="002E021F" w:rsidP="00731FC7">
      <w:pPr>
        <w:spacing w:after="0"/>
        <w:rPr>
          <w:lang w:val="en-GB"/>
        </w:rPr>
      </w:pPr>
      <w:r w:rsidRPr="002E021F">
        <w:rPr>
          <w:lang w:val="en-GB"/>
        </w:rPr>
        <w:t xml:space="preserve">Another interesting variant is the one developed by the Kaggle platform - the online reference community for data scientists - through their </w:t>
      </w:r>
      <w:hyperlink r:id="rId228" w:history="1">
        <w:r w:rsidRPr="00131A70">
          <w:rPr>
            <w:color w:val="7030A0"/>
            <w:u w:val="single"/>
            <w:lang w:val="en-GB"/>
          </w:rPr>
          <w:t>competitions</w:t>
        </w:r>
      </w:hyperlink>
      <w:r w:rsidRPr="002E021F">
        <w:rPr>
          <w:lang w:val="en-GB"/>
        </w:rPr>
        <w:t xml:space="preserve"> to solve challenges in the field of data sciences, and thanks to which </w:t>
      </w:r>
      <w:hyperlink r:id="rId229" w:history="1">
        <w:r w:rsidRPr="00131A70">
          <w:rPr>
            <w:color w:val="7030A0"/>
            <w:u w:val="single"/>
            <w:lang w:val="en-GB"/>
          </w:rPr>
          <w:t>more than 20,000 datasets</w:t>
        </w:r>
      </w:hyperlink>
      <w:r w:rsidR="00131A70">
        <w:rPr>
          <w:lang w:val="en-GB"/>
        </w:rPr>
        <w:t xml:space="preserve"> have been published.</w:t>
      </w:r>
    </w:p>
    <w:p w14:paraId="2AE26776" w14:textId="63E892F5" w:rsidR="00526D83" w:rsidRPr="002E021F" w:rsidRDefault="00526D83" w:rsidP="00B7528C">
      <w:pPr>
        <w:pStyle w:val="Ttulo2"/>
        <w:ind w:left="0"/>
        <w:rPr>
          <w:lang w:val="en-GB"/>
        </w:rPr>
      </w:pPr>
      <w:bookmarkStart w:id="56" w:name="_Toc30777415"/>
      <w:bookmarkStart w:id="57" w:name="_Toc34134711"/>
      <w:r w:rsidRPr="002E021F">
        <w:rPr>
          <w:lang w:val="en-GB"/>
        </w:rPr>
        <w:t>2.7 – INCUBA</w:t>
      </w:r>
      <w:r w:rsidR="009C5988" w:rsidRPr="002E021F">
        <w:rPr>
          <w:lang w:val="en-GB"/>
        </w:rPr>
        <w:t>T</w:t>
      </w:r>
      <w:r w:rsidRPr="002E021F">
        <w:rPr>
          <w:lang w:val="en-GB"/>
        </w:rPr>
        <w:t xml:space="preserve">ORS </w:t>
      </w:r>
      <w:r w:rsidR="009C5988" w:rsidRPr="002E021F">
        <w:rPr>
          <w:lang w:val="en-GB"/>
        </w:rPr>
        <w:t>AND</w:t>
      </w:r>
      <w:r w:rsidRPr="002E021F">
        <w:rPr>
          <w:lang w:val="en-GB"/>
        </w:rPr>
        <w:t xml:space="preserve"> ACELERA</w:t>
      </w:r>
      <w:r w:rsidR="009C5988" w:rsidRPr="002E021F">
        <w:rPr>
          <w:lang w:val="en-GB"/>
        </w:rPr>
        <w:t>T</w:t>
      </w:r>
      <w:r w:rsidRPr="002E021F">
        <w:rPr>
          <w:lang w:val="en-GB"/>
        </w:rPr>
        <w:t>ORS</w:t>
      </w:r>
      <w:bookmarkEnd w:id="56"/>
      <w:bookmarkEnd w:id="57"/>
    </w:p>
    <w:p w14:paraId="504054A2" w14:textId="56C2E520" w:rsidR="00DE44EE" w:rsidRPr="00DE44EE" w:rsidRDefault="00DE44EE" w:rsidP="00731FC7">
      <w:pPr>
        <w:spacing w:after="0"/>
        <w:rPr>
          <w:lang w:val="en-GB"/>
        </w:rPr>
      </w:pPr>
      <w:r w:rsidRPr="00DE44EE">
        <w:rPr>
          <w:lang w:val="en-GB"/>
        </w:rPr>
        <w:t xml:space="preserve">The main objective of the incubators and accelerators is </w:t>
      </w:r>
      <w:r w:rsidRPr="009E120D">
        <w:rPr>
          <w:b/>
          <w:lang w:val="en-GB"/>
        </w:rPr>
        <w:t>to advise and support business ideas or projects</w:t>
      </w:r>
      <w:r w:rsidRPr="00DE44EE">
        <w:rPr>
          <w:lang w:val="en-GB"/>
        </w:rPr>
        <w:t xml:space="preserve">, with different resources to boost and </w:t>
      </w:r>
      <w:r w:rsidR="009E120D">
        <w:rPr>
          <w:lang w:val="en-GB"/>
        </w:rPr>
        <w:t>make</w:t>
      </w:r>
      <w:r w:rsidRPr="00DE44EE">
        <w:rPr>
          <w:lang w:val="en-GB"/>
        </w:rPr>
        <w:t xml:space="preserve"> them profitable and able to work independently in the market</w:t>
      </w:r>
      <w:r w:rsidR="00131A70">
        <w:rPr>
          <w:lang w:val="en-GB"/>
        </w:rPr>
        <w:t>. T</w:t>
      </w:r>
      <w:r w:rsidRPr="00DE44EE">
        <w:rPr>
          <w:lang w:val="en-GB"/>
        </w:rPr>
        <w:t>hese incubation and acceleration models have been evolving and specializing</w:t>
      </w:r>
      <w:r w:rsidR="009E120D">
        <w:rPr>
          <w:lang w:val="en-GB"/>
        </w:rPr>
        <w:t>. Nowadays</w:t>
      </w:r>
      <w:r w:rsidR="00AE4A43">
        <w:rPr>
          <w:lang w:val="en-GB"/>
        </w:rPr>
        <w:t>,</w:t>
      </w:r>
      <w:r w:rsidR="009E120D">
        <w:rPr>
          <w:lang w:val="en-GB"/>
        </w:rPr>
        <w:t xml:space="preserve"> there are</w:t>
      </w:r>
      <w:r w:rsidRPr="00DE44EE">
        <w:rPr>
          <w:lang w:val="en-GB"/>
        </w:rPr>
        <w:t xml:space="preserve"> </w:t>
      </w:r>
      <w:hyperlink r:id="rId230" w:history="1">
        <w:r w:rsidRPr="00131A70">
          <w:rPr>
            <w:color w:val="7030A0"/>
            <w:u w:val="single"/>
            <w:lang w:val="en-GB"/>
          </w:rPr>
          <w:t>incubators and accelerators focused specifically on data-based businesses and associated technologies</w:t>
        </w:r>
      </w:hyperlink>
      <w:r w:rsidR="00AE4A43">
        <w:rPr>
          <w:lang w:val="en-GB"/>
        </w:rPr>
        <w:t>,</w:t>
      </w:r>
      <w:r w:rsidRPr="00DE44EE">
        <w:rPr>
          <w:lang w:val="en-GB"/>
        </w:rPr>
        <w:t xml:space="preserve"> both in the private sector, such as </w:t>
      </w:r>
      <w:hyperlink r:id="rId231">
        <w:r w:rsidR="009E120D" w:rsidRPr="00131A70">
          <w:rPr>
            <w:color w:val="7030A0"/>
            <w:u w:val="single"/>
            <w:lang w:val="en-GB"/>
          </w:rPr>
          <w:t>Data Elite</w:t>
        </w:r>
      </w:hyperlink>
      <w:r w:rsidR="009E120D" w:rsidRPr="009E120D">
        <w:rPr>
          <w:lang w:val="en-GB"/>
        </w:rPr>
        <w:t xml:space="preserve">, </w:t>
      </w:r>
      <w:r w:rsidRPr="00DE44EE">
        <w:rPr>
          <w:lang w:val="en-GB"/>
        </w:rPr>
        <w:t>as in the public</w:t>
      </w:r>
      <w:r w:rsidR="009E120D">
        <w:rPr>
          <w:lang w:val="en-GB"/>
        </w:rPr>
        <w:t xml:space="preserve"> sector</w:t>
      </w:r>
      <w:r w:rsidRPr="00DE44EE">
        <w:rPr>
          <w:lang w:val="en-GB"/>
        </w:rPr>
        <w:t xml:space="preserve"> such as </w:t>
      </w:r>
      <w:hyperlink r:id="rId232" w:history="1">
        <w:r w:rsidRPr="00131A70">
          <w:rPr>
            <w:color w:val="7030A0"/>
            <w:u w:val="single"/>
            <w:lang w:val="en-GB"/>
          </w:rPr>
          <w:t>ODINE</w:t>
        </w:r>
      </w:hyperlink>
      <w:r w:rsidRPr="00DE44EE">
        <w:rPr>
          <w:lang w:val="en-GB"/>
        </w:rPr>
        <w:t xml:space="preserve">, </w:t>
      </w:r>
      <w:hyperlink r:id="rId233" w:history="1">
        <w:r w:rsidRPr="00131A70">
          <w:rPr>
            <w:color w:val="7030A0"/>
            <w:u w:val="single"/>
            <w:lang w:val="en-GB"/>
          </w:rPr>
          <w:t>Data Market Services</w:t>
        </w:r>
      </w:hyperlink>
      <w:r w:rsidRPr="00DE44EE">
        <w:rPr>
          <w:lang w:val="en-GB"/>
        </w:rPr>
        <w:t xml:space="preserve"> or </w:t>
      </w:r>
      <w:hyperlink r:id="rId234">
        <w:r w:rsidR="00AE4A43" w:rsidRPr="00131A70">
          <w:rPr>
            <w:color w:val="7030A0"/>
            <w:u w:val="single"/>
            <w:lang w:val="en-GB"/>
          </w:rPr>
          <w:t>Finodex</w:t>
        </w:r>
      </w:hyperlink>
      <w:r w:rsidRPr="00DE44EE">
        <w:rPr>
          <w:lang w:val="en-GB"/>
        </w:rPr>
        <w:t>.</w:t>
      </w:r>
    </w:p>
    <w:p w14:paraId="5A563BEA" w14:textId="5EA2E2D7" w:rsidR="00AE4A43" w:rsidRPr="00AE4A43" w:rsidRDefault="00AE4A43" w:rsidP="00731FC7">
      <w:pPr>
        <w:spacing w:after="0"/>
        <w:rPr>
          <w:lang w:val="en-GB"/>
        </w:rPr>
      </w:pPr>
      <w:r w:rsidRPr="00AE4A43">
        <w:rPr>
          <w:lang w:val="en-GB"/>
        </w:rPr>
        <w:t xml:space="preserve">In addition, new models are becoming more sophisticated and focused on promoting innovation through the use of data, such as those aimed at mentoring new data scientists such as </w:t>
      </w:r>
      <w:hyperlink r:id="rId235">
        <w:r w:rsidRPr="00131A70">
          <w:rPr>
            <w:color w:val="7030A0"/>
            <w:u w:val="single"/>
            <w:lang w:val="en-GB"/>
          </w:rPr>
          <w:t>The Data Incubator</w:t>
        </w:r>
      </w:hyperlink>
      <w:r w:rsidRPr="00AE4A43">
        <w:rPr>
          <w:lang w:val="en-GB"/>
        </w:rPr>
        <w:t xml:space="preserve"> or others specialized in public-private </w:t>
      </w:r>
      <w:r w:rsidRPr="00AE4A43">
        <w:rPr>
          <w:lang w:val="en-GB"/>
        </w:rPr>
        <w:lastRenderedPageBreak/>
        <w:t xml:space="preserve">collaboration such as the </w:t>
      </w:r>
      <w:hyperlink r:id="rId236">
        <w:r w:rsidRPr="00131A70">
          <w:rPr>
            <w:color w:val="7030A0"/>
            <w:u w:val="single"/>
            <w:lang w:val="en-GB"/>
          </w:rPr>
          <w:t>European Data Incubator</w:t>
        </w:r>
      </w:hyperlink>
      <w:r w:rsidRPr="00AE4A43">
        <w:rPr>
          <w:lang w:val="en-GB"/>
        </w:rPr>
        <w:t xml:space="preserve"> and </w:t>
      </w:r>
      <w:hyperlink r:id="rId237">
        <w:r w:rsidRPr="00131A70">
          <w:rPr>
            <w:color w:val="7030A0"/>
            <w:u w:val="single"/>
            <w:lang w:val="en-GB"/>
          </w:rPr>
          <w:t>Data Pitch</w:t>
        </w:r>
      </w:hyperlink>
      <w:r w:rsidRPr="00AE4A43">
        <w:rPr>
          <w:lang w:val="en-GB"/>
        </w:rPr>
        <w:t xml:space="preserve"> - both funded by the European Union - leading to dozens of </w:t>
      </w:r>
      <w:hyperlink r:id="rId238" w:history="1">
        <w:r w:rsidRPr="00131A70">
          <w:rPr>
            <w:color w:val="7030A0"/>
            <w:u w:val="single"/>
            <w:lang w:val="en-GB"/>
          </w:rPr>
          <w:t>successful collaborations</w:t>
        </w:r>
      </w:hyperlink>
      <w:r w:rsidRPr="00AE4A43">
        <w:rPr>
          <w:lang w:val="en-GB"/>
        </w:rPr>
        <w:t xml:space="preserve"> and </w:t>
      </w:r>
      <w:hyperlink r:id="rId239" w:history="1">
        <w:r w:rsidRPr="00131A70">
          <w:rPr>
            <w:color w:val="7030A0"/>
            <w:u w:val="single"/>
            <w:lang w:val="en-GB"/>
          </w:rPr>
          <w:t>new data companies</w:t>
        </w:r>
      </w:hyperlink>
      <w:r w:rsidRPr="00AE4A43">
        <w:rPr>
          <w:lang w:val="en-GB"/>
        </w:rPr>
        <w:t xml:space="preserve"> throughout Europe so far.</w:t>
      </w:r>
    </w:p>
    <w:p w14:paraId="255A6126" w14:textId="72AF054B" w:rsidR="009C5988" w:rsidRPr="009C5988" w:rsidRDefault="009C5988" w:rsidP="00731FC7">
      <w:pPr>
        <w:spacing w:after="0"/>
        <w:rPr>
          <w:lang w:val="en-GB"/>
        </w:rPr>
      </w:pPr>
      <w:r w:rsidRPr="009C5988">
        <w:rPr>
          <w:lang w:val="en-GB"/>
        </w:rPr>
        <w:t xml:space="preserve">These latest advanced collaborative and open innovation programs work by bringing together business and public sector organizations that </w:t>
      </w:r>
      <w:r>
        <w:rPr>
          <w:lang w:val="en-GB"/>
        </w:rPr>
        <w:t>own</w:t>
      </w:r>
      <w:r w:rsidRPr="009C5988">
        <w:rPr>
          <w:lang w:val="en-GB"/>
        </w:rPr>
        <w:t xml:space="preserve"> data that they want to exploit in different ways with start</w:t>
      </w:r>
      <w:r>
        <w:rPr>
          <w:lang w:val="en-GB"/>
        </w:rPr>
        <w:t>-</w:t>
      </w:r>
      <w:r w:rsidRPr="009C5988">
        <w:rPr>
          <w:lang w:val="en-GB"/>
        </w:rPr>
        <w:t xml:space="preserve">ups and SMEs that can work with them through specific operating agreements. The model focuses on clearly describing the challenges posed by organizations that provide data and helping SMEs to develop solutions to address these challenges through an acceleration program in which they will also receive advice and financial boost. The ultimate goal is that the solutions developed can become </w:t>
      </w:r>
      <w:r>
        <w:rPr>
          <w:lang w:val="en-GB"/>
        </w:rPr>
        <w:t xml:space="preserve">a </w:t>
      </w:r>
      <w:r w:rsidRPr="009C5988">
        <w:rPr>
          <w:lang w:val="en-GB"/>
        </w:rPr>
        <w:t xml:space="preserve">solid and sustainable businesses </w:t>
      </w:r>
      <w:r>
        <w:rPr>
          <w:lang w:val="en-GB"/>
        </w:rPr>
        <w:t>in an</w:t>
      </w:r>
      <w:r w:rsidRPr="009C5988">
        <w:rPr>
          <w:lang w:val="en-GB"/>
        </w:rPr>
        <w:t xml:space="preserve"> eas</w:t>
      </w:r>
      <w:r>
        <w:rPr>
          <w:lang w:val="en-GB"/>
        </w:rPr>
        <w:t>y way</w:t>
      </w:r>
      <w:r w:rsidRPr="009C5988">
        <w:rPr>
          <w:lang w:val="en-GB"/>
        </w:rPr>
        <w:t xml:space="preserve"> thanks to the fact that they were </w:t>
      </w:r>
      <w:r>
        <w:rPr>
          <w:lang w:val="en-GB"/>
        </w:rPr>
        <w:t>created</w:t>
      </w:r>
      <w:r w:rsidRPr="009C5988">
        <w:rPr>
          <w:lang w:val="en-GB"/>
        </w:rPr>
        <w:t xml:space="preserve"> base</w:t>
      </w:r>
      <w:r>
        <w:rPr>
          <w:lang w:val="en-GB"/>
        </w:rPr>
        <w:t>d on</w:t>
      </w:r>
      <w:r w:rsidRPr="009C5988">
        <w:rPr>
          <w:lang w:val="en-GB"/>
        </w:rPr>
        <w:t xml:space="preserve"> a real need of a real customer.</w:t>
      </w:r>
    </w:p>
    <w:p w14:paraId="069FB232" w14:textId="3119BC58" w:rsidR="00526D83" w:rsidRPr="002E021F" w:rsidRDefault="00526D83" w:rsidP="00B7528C">
      <w:pPr>
        <w:pStyle w:val="Ttulo1"/>
        <w:ind w:left="0"/>
        <w:rPr>
          <w:lang w:val="en-GB"/>
        </w:rPr>
      </w:pPr>
      <w:bookmarkStart w:id="58" w:name="_Toc30777416"/>
      <w:bookmarkStart w:id="59" w:name="_Toc34134712"/>
      <w:r w:rsidRPr="002E021F">
        <w:rPr>
          <w:lang w:val="en-GB"/>
        </w:rPr>
        <w:lastRenderedPageBreak/>
        <w:t>Conclusions</w:t>
      </w:r>
      <w:bookmarkEnd w:id="58"/>
      <w:bookmarkEnd w:id="59"/>
    </w:p>
    <w:p w14:paraId="4ED760C3" w14:textId="0A338A3D" w:rsidR="002E021F" w:rsidRPr="002E021F" w:rsidRDefault="002E021F" w:rsidP="00731FC7">
      <w:pPr>
        <w:spacing w:after="0"/>
        <w:rPr>
          <w:color w:val="000000"/>
          <w:lang w:val="en-GB"/>
        </w:rPr>
      </w:pPr>
      <w:r w:rsidRPr="002E021F">
        <w:rPr>
          <w:color w:val="000000"/>
          <w:lang w:val="en-GB"/>
        </w:rPr>
        <w:t xml:space="preserve">As we have seen throughout the first part of this report, open data (to a greater or lesser extent) can no longer be considered an exclusive trend of public administrations, but </w:t>
      </w:r>
      <w:r w:rsidRPr="002E021F">
        <w:rPr>
          <w:b/>
          <w:color w:val="000000"/>
          <w:lang w:val="en-GB"/>
        </w:rPr>
        <w:t>an increasing number of actors are also sharing their own data</w:t>
      </w:r>
      <w:r w:rsidRPr="002E021F">
        <w:rPr>
          <w:color w:val="000000"/>
          <w:lang w:val="en-GB"/>
        </w:rPr>
        <w:t xml:space="preserve">, thus increasing the availability of information and, therefore, the value of the open data community itself. </w:t>
      </w:r>
      <w:r w:rsidRPr="002E021F">
        <w:rPr>
          <w:b/>
          <w:color w:val="000000"/>
          <w:lang w:val="en-GB"/>
        </w:rPr>
        <w:t>All of them share the same goal, although the motivations can be very different</w:t>
      </w:r>
      <w:r w:rsidRPr="002E021F">
        <w:rPr>
          <w:color w:val="000000"/>
          <w:lang w:val="en-GB"/>
        </w:rPr>
        <w:t xml:space="preserve"> - legal imperatives, image improvement, economic benefit, accountability, social responsibility, experimentation and innovation, knowledge management, global development, privacy protection... each actor pursues his own goals, sometimes opposite, sometimes shared.</w:t>
      </w:r>
    </w:p>
    <w:p w14:paraId="5A2B6A94" w14:textId="0FA94F50" w:rsidR="002E021F" w:rsidRPr="002E021F" w:rsidRDefault="002E021F" w:rsidP="00731FC7">
      <w:pPr>
        <w:spacing w:after="0"/>
        <w:rPr>
          <w:color w:val="000000"/>
          <w:lang w:val="en-GB"/>
        </w:rPr>
      </w:pPr>
      <w:r w:rsidRPr="002E021F">
        <w:rPr>
          <w:color w:val="000000"/>
          <w:lang w:val="en-GB"/>
        </w:rPr>
        <w:t xml:space="preserve">On the other hand, many of the open government data initiatives that began their journey years ago as pioneers have reached a greater degree of maturity in the present and are now facing new challenges when it comes to scaling their own initiatives. The management of the data life cycle, the technical and legal aspects, the adaptation of the capabilities of public employees or the growing concern about potential privacy problems are some of the barriers </w:t>
      </w:r>
      <w:r>
        <w:rPr>
          <w:color w:val="000000"/>
          <w:lang w:val="en-GB"/>
        </w:rPr>
        <w:t>that</w:t>
      </w:r>
      <w:r w:rsidRPr="002E021F">
        <w:rPr>
          <w:color w:val="000000"/>
          <w:lang w:val="en-GB"/>
        </w:rPr>
        <w:t xml:space="preserve"> public administrations have to face when they try to take their open data projects to the next level.</w:t>
      </w:r>
    </w:p>
    <w:p w14:paraId="5E236C6A" w14:textId="1FE66575" w:rsidR="002E021F" w:rsidRPr="002E021F" w:rsidRDefault="002E021F" w:rsidP="00731FC7">
      <w:pPr>
        <w:spacing w:after="0"/>
        <w:rPr>
          <w:color w:val="000000"/>
          <w:lang w:val="en-GB"/>
        </w:rPr>
      </w:pPr>
      <w:r>
        <w:rPr>
          <w:color w:val="000000"/>
          <w:lang w:val="en-GB"/>
        </w:rPr>
        <w:t>T</w:t>
      </w:r>
      <w:r w:rsidRPr="002E021F">
        <w:rPr>
          <w:color w:val="000000"/>
          <w:lang w:val="en-GB"/>
        </w:rPr>
        <w:t xml:space="preserve">herefore, </w:t>
      </w:r>
      <w:r>
        <w:rPr>
          <w:color w:val="000000"/>
          <w:lang w:val="en-GB"/>
        </w:rPr>
        <w:t>i</w:t>
      </w:r>
      <w:r w:rsidRPr="002E021F">
        <w:rPr>
          <w:color w:val="000000"/>
          <w:lang w:val="en-GB"/>
        </w:rPr>
        <w:t>t is not surprising</w:t>
      </w:r>
      <w:r>
        <w:rPr>
          <w:color w:val="000000"/>
          <w:lang w:val="en-GB"/>
        </w:rPr>
        <w:t xml:space="preserve"> </w:t>
      </w:r>
      <w:r w:rsidRPr="002E021F">
        <w:rPr>
          <w:color w:val="000000"/>
          <w:lang w:val="en-GB"/>
        </w:rPr>
        <w:t xml:space="preserve">that in view of the increasing number of active actors in this space and in response to the growing difficulties in the output and sharing of an increasing amount of data, </w:t>
      </w:r>
      <w:r w:rsidRPr="002E021F">
        <w:rPr>
          <w:b/>
          <w:color w:val="000000"/>
          <w:lang w:val="en-GB"/>
        </w:rPr>
        <w:t xml:space="preserve">new collaborative models begin to emerge for a more efficient and effective </w:t>
      </w:r>
      <w:r w:rsidR="006B53E4">
        <w:rPr>
          <w:b/>
          <w:color w:val="000000"/>
          <w:lang w:val="en-GB"/>
        </w:rPr>
        <w:t xml:space="preserve">data </w:t>
      </w:r>
      <w:r w:rsidRPr="002E021F">
        <w:rPr>
          <w:b/>
          <w:color w:val="000000"/>
          <w:lang w:val="en-GB"/>
        </w:rPr>
        <w:t>management and opening</w:t>
      </w:r>
      <w:r w:rsidRPr="002E021F">
        <w:rPr>
          <w:color w:val="000000"/>
          <w:lang w:val="en-GB"/>
        </w:rPr>
        <w:t>, as we have reviewed in the second part of the report. A trend that in all probability will continue to grow in the near future.</w:t>
      </w:r>
    </w:p>
    <w:p w14:paraId="3FCF439D" w14:textId="2EBD154C" w:rsidR="006B53E4" w:rsidRPr="006B53E4" w:rsidRDefault="006B53E4" w:rsidP="00731FC7">
      <w:pPr>
        <w:spacing w:after="0"/>
        <w:rPr>
          <w:color w:val="000000"/>
          <w:lang w:val="en-GB"/>
        </w:rPr>
      </w:pPr>
      <w:r w:rsidRPr="006B53E4">
        <w:rPr>
          <w:color w:val="000000"/>
          <w:lang w:val="en-GB"/>
        </w:rPr>
        <w:t xml:space="preserve">From the experimental vision of the challenges and competitions, to the business objective of the incubators. From the point of view of the legal responsibility of data trust, to the participatory model of data collaboratives. From the formative perspective of data fellowships, to the empowerment of data cooperatives. All </w:t>
      </w:r>
      <w:r>
        <w:rPr>
          <w:color w:val="000000"/>
          <w:lang w:val="en-GB"/>
        </w:rPr>
        <w:t>the current</w:t>
      </w:r>
      <w:r w:rsidRPr="006B53E4">
        <w:rPr>
          <w:color w:val="000000"/>
          <w:lang w:val="en-GB"/>
        </w:rPr>
        <w:t xml:space="preserve"> models share some similarities -and to some extent they also intermingle with each other giving </w:t>
      </w:r>
      <w:r w:rsidRPr="006B53E4">
        <w:rPr>
          <w:color w:val="000000"/>
          <w:lang w:val="en-GB"/>
        </w:rPr>
        <w:lastRenderedPageBreak/>
        <w:t>rise to other new models-</w:t>
      </w:r>
      <w:r w:rsidR="00131A70">
        <w:rPr>
          <w:color w:val="000000"/>
          <w:lang w:val="en-GB"/>
        </w:rPr>
        <w:t>,</w:t>
      </w:r>
      <w:r w:rsidRPr="006B53E4">
        <w:rPr>
          <w:color w:val="000000"/>
          <w:lang w:val="en-GB"/>
        </w:rPr>
        <w:t xml:space="preserve"> but each of them has at the same time its own essence, its identity signal and its raison d'être .</w:t>
      </w:r>
    </w:p>
    <w:p w14:paraId="33627998" w14:textId="4D2D6709" w:rsidR="006B53E4" w:rsidRPr="006B53E4" w:rsidRDefault="006B53E4" w:rsidP="003651FD">
      <w:pPr>
        <w:spacing w:after="0"/>
        <w:ind w:left="1440" w:hanging="1440"/>
        <w:rPr>
          <w:color w:val="000000"/>
          <w:lang w:val="en-GB"/>
        </w:rPr>
      </w:pPr>
      <w:r w:rsidRPr="006B53E4">
        <w:rPr>
          <w:color w:val="000000"/>
          <w:lang w:val="en-GB"/>
        </w:rPr>
        <w:t xml:space="preserve">And if there is something that they all share, it is their experimental nature. Each and every one of the previous models arise in response to different attempts to solve the challenges in the publication that we mentioned before and try to find their place in the data ecosystem, sometimes promoted by a particular organization or entity and </w:t>
      </w:r>
      <w:r>
        <w:rPr>
          <w:color w:val="000000"/>
          <w:lang w:val="en-GB"/>
        </w:rPr>
        <w:t>sometimes in a</w:t>
      </w:r>
      <w:r w:rsidRPr="006B53E4">
        <w:rPr>
          <w:color w:val="000000"/>
          <w:lang w:val="en-GB"/>
        </w:rPr>
        <w:t xml:space="preserve"> </w:t>
      </w:r>
      <w:r>
        <w:rPr>
          <w:color w:val="000000"/>
          <w:lang w:val="en-GB"/>
        </w:rPr>
        <w:t xml:space="preserve">more </w:t>
      </w:r>
      <w:r w:rsidRPr="006B53E4">
        <w:rPr>
          <w:color w:val="000000"/>
          <w:lang w:val="en-GB"/>
        </w:rPr>
        <w:t>spontaneous</w:t>
      </w:r>
      <w:r>
        <w:rPr>
          <w:color w:val="000000"/>
          <w:lang w:val="en-GB"/>
        </w:rPr>
        <w:t xml:space="preserve"> way</w:t>
      </w:r>
      <w:r w:rsidRPr="006B53E4">
        <w:rPr>
          <w:color w:val="000000"/>
          <w:lang w:val="en-GB"/>
        </w:rPr>
        <w:t>. However, it is very unlikely that we can find a unique model of collaboration that can cover all our needs and serve any possible present and future scenario. Thus, given the current situation, what one would expect in the short term is an even greater proliferation of models until they have enough experience to define and narrow them down better. From there, it will most likely be a consolidation phase with some more proven and refined reference models so that they can be more easily adopted.</w:t>
      </w:r>
    </w:p>
    <w:p w14:paraId="7BB2A50B" w14:textId="4FE22106" w:rsidR="00526D83" w:rsidRPr="00535EC5" w:rsidRDefault="00526D83" w:rsidP="0066123E">
      <w:pPr>
        <w:pStyle w:val="Ttulo1"/>
        <w:rPr>
          <w:lang w:val="en-US"/>
        </w:rPr>
      </w:pPr>
      <w:bookmarkStart w:id="60" w:name="_Toc30777417"/>
      <w:bookmarkStart w:id="61" w:name="_Toc34134713"/>
      <w:r w:rsidRPr="00535EC5">
        <w:rPr>
          <w:lang w:val="en-US"/>
        </w:rPr>
        <w:lastRenderedPageBreak/>
        <w:t>Referenc</w:t>
      </w:r>
      <w:r w:rsidR="008679F1">
        <w:rPr>
          <w:lang w:val="en-US"/>
        </w:rPr>
        <w:t>e</w:t>
      </w:r>
      <w:r w:rsidRPr="00535EC5">
        <w:rPr>
          <w:lang w:val="en-US"/>
        </w:rPr>
        <w:t>s</w:t>
      </w:r>
      <w:bookmarkEnd w:id="60"/>
      <w:bookmarkEnd w:id="61"/>
    </w:p>
    <w:p w14:paraId="3B448415" w14:textId="1327EDE8" w:rsidR="00526D83" w:rsidRPr="00731FC7" w:rsidRDefault="00526D83" w:rsidP="009D3471">
      <w:pPr>
        <w:pStyle w:val="Prrafodelista"/>
        <w:numPr>
          <w:ilvl w:val="0"/>
          <w:numId w:val="24"/>
        </w:numPr>
        <w:spacing w:after="0"/>
        <w:rPr>
          <w:rFonts w:ascii="Myriad Pro" w:hAnsi="Myriad Pro"/>
          <w:color w:val="0000FF"/>
          <w:sz w:val="24"/>
          <w:szCs w:val="24"/>
          <w:u w:val="single"/>
          <w:lang w:val="es-ES_tradnl"/>
        </w:rPr>
      </w:pPr>
      <w:r w:rsidRPr="00731FC7">
        <w:rPr>
          <w:rFonts w:ascii="Myriad Pro" w:hAnsi="Myriad Pro"/>
          <w:sz w:val="24"/>
          <w:szCs w:val="24"/>
          <w:lang w:val="en-US"/>
        </w:rPr>
        <w:t>MIT Technology review – It is time for a Bill of Data Rights</w:t>
      </w:r>
      <w:r w:rsidR="00731FC7" w:rsidRPr="00731FC7">
        <w:rPr>
          <w:rFonts w:ascii="Myriad Pro" w:hAnsi="Myriad Pro"/>
          <w:sz w:val="24"/>
          <w:szCs w:val="24"/>
          <w:lang w:val="en-US"/>
        </w:rPr>
        <w:t xml:space="preserve">. </w:t>
      </w:r>
      <w:hyperlink r:id="rId240">
        <w:r w:rsidRPr="00433274">
          <w:rPr>
            <w:rFonts w:ascii="Myriad Pro" w:eastAsia="Calibri" w:hAnsi="Myriad Pro" w:cstheme="minorBidi"/>
            <w:color w:val="7030A0"/>
            <w:sz w:val="24"/>
            <w:szCs w:val="24"/>
            <w:u w:val="single"/>
            <w:lang w:eastAsia="en-US"/>
          </w:rPr>
          <w:t>https://www.technologyreview.com/s/612588/its-time-for-a-bill-of-data-rights/</w:t>
        </w:r>
      </w:hyperlink>
    </w:p>
    <w:p w14:paraId="6B41662B" w14:textId="2E1D1752" w:rsidR="00526D83" w:rsidRPr="00731FC7" w:rsidRDefault="00526D83" w:rsidP="009D3471">
      <w:pPr>
        <w:pStyle w:val="Prrafodelista"/>
        <w:numPr>
          <w:ilvl w:val="0"/>
          <w:numId w:val="24"/>
        </w:numPr>
        <w:spacing w:after="0"/>
        <w:rPr>
          <w:rFonts w:ascii="Myriad Pro" w:hAnsi="Myriad Pro"/>
          <w:color w:val="0000FF"/>
          <w:sz w:val="24"/>
          <w:szCs w:val="24"/>
          <w:u w:val="single"/>
        </w:rPr>
      </w:pPr>
      <w:r w:rsidRPr="00731FC7">
        <w:rPr>
          <w:rFonts w:ascii="Myriad Pro" w:hAnsi="Myriad Pro"/>
          <w:sz w:val="24"/>
          <w:szCs w:val="24"/>
        </w:rPr>
        <w:t>BOE – Ley 11/2018, de 28 de diciembre, por la que se modifica el Código de Comercio, el texto refundido de la Ley de Sociedades de Capital aprobado por el Real Decreto Legislativo 1/2010, de 2 de julio, y la Ley 22/2015, de 20 de julio, de Auditoría de Cuentas, en materia de información no financiera y diversidad.</w:t>
      </w:r>
      <w:r w:rsidR="00731FC7" w:rsidRPr="00731FC7">
        <w:rPr>
          <w:rFonts w:ascii="Myriad Pro" w:hAnsi="Myriad Pro"/>
          <w:sz w:val="24"/>
          <w:szCs w:val="24"/>
        </w:rPr>
        <w:t xml:space="preserve"> </w:t>
      </w:r>
      <w:r w:rsidRPr="00433274">
        <w:rPr>
          <w:rFonts w:ascii="Myriad Pro" w:eastAsia="Calibri" w:hAnsi="Myriad Pro" w:cstheme="minorBidi"/>
          <w:color w:val="7030A0"/>
          <w:sz w:val="24"/>
          <w:szCs w:val="24"/>
          <w:u w:val="single"/>
          <w:lang w:eastAsia="en-US"/>
        </w:rPr>
        <w:t>https://www.boe.es/buscar/doc.php?id=BOE-A-2018-17989</w:t>
      </w:r>
    </w:p>
    <w:p w14:paraId="6884E331" w14:textId="7DDEA68F" w:rsidR="00526D83" w:rsidRPr="00731FC7" w:rsidRDefault="00526D83" w:rsidP="009D3471">
      <w:pPr>
        <w:pStyle w:val="Prrafodelista"/>
        <w:numPr>
          <w:ilvl w:val="0"/>
          <w:numId w:val="24"/>
        </w:numPr>
        <w:spacing w:after="0"/>
        <w:rPr>
          <w:rFonts w:ascii="Myriad Pro" w:hAnsi="Myriad Pro"/>
          <w:color w:val="0000FF"/>
          <w:sz w:val="24"/>
          <w:szCs w:val="24"/>
          <w:u w:val="single"/>
        </w:rPr>
      </w:pPr>
      <w:r w:rsidRPr="00731FC7">
        <w:rPr>
          <w:rFonts w:ascii="Myriad Pro" w:hAnsi="Myriad Pro"/>
          <w:sz w:val="24"/>
          <w:szCs w:val="24"/>
        </w:rPr>
        <w:t>Fundación COTEC – Guía para la apertura y compartición de datos en el entorno empresarial</w:t>
      </w:r>
      <w:r w:rsidR="00731FC7" w:rsidRPr="00731FC7">
        <w:rPr>
          <w:rFonts w:ascii="Myriad Pro" w:hAnsi="Myriad Pro"/>
          <w:sz w:val="24"/>
          <w:szCs w:val="24"/>
        </w:rPr>
        <w:t xml:space="preserve">. </w:t>
      </w:r>
      <w:hyperlink r:id="rId241" w:history="1">
        <w:r w:rsidRPr="009D3471">
          <w:rPr>
            <w:rFonts w:ascii="Myriad Pro" w:eastAsia="Calibri" w:hAnsi="Myriad Pro" w:cstheme="minorBidi"/>
            <w:color w:val="7030A0"/>
            <w:sz w:val="24"/>
            <w:szCs w:val="24"/>
            <w:u w:val="single"/>
            <w:lang w:val="en-GB" w:eastAsia="en-US"/>
          </w:rPr>
          <w:t>https://cotec.es/media/Guiadatosabiertosenelsectorempresarial_COTEC.pdf</w:t>
        </w:r>
      </w:hyperlink>
    </w:p>
    <w:p w14:paraId="7F5FCBAE" w14:textId="7FD7D35C" w:rsidR="00526D83" w:rsidRPr="00731FC7" w:rsidRDefault="00526D83" w:rsidP="009D3471">
      <w:pPr>
        <w:pStyle w:val="Prrafodelista"/>
        <w:numPr>
          <w:ilvl w:val="0"/>
          <w:numId w:val="24"/>
        </w:numPr>
        <w:spacing w:after="0"/>
        <w:rPr>
          <w:rFonts w:ascii="Myriad Pro" w:hAnsi="Myriad Pro"/>
          <w:color w:val="0000FF"/>
          <w:sz w:val="24"/>
          <w:szCs w:val="24"/>
          <w:u w:val="single"/>
          <w:lang w:val="es-ES_tradnl"/>
        </w:rPr>
      </w:pPr>
      <w:r w:rsidRPr="00731FC7">
        <w:rPr>
          <w:rFonts w:ascii="Myriad Pro" w:hAnsi="Myriad Pro"/>
          <w:sz w:val="24"/>
          <w:szCs w:val="24"/>
          <w:lang w:val="en-US"/>
        </w:rPr>
        <w:t>GIZ – Data for Development: What’s next?</w:t>
      </w:r>
      <w:r w:rsidR="00731FC7" w:rsidRPr="00731FC7">
        <w:rPr>
          <w:rFonts w:ascii="Myriad Pro" w:hAnsi="Myriad Pro"/>
          <w:sz w:val="24"/>
          <w:szCs w:val="24"/>
          <w:lang w:val="en-US"/>
        </w:rPr>
        <w:t xml:space="preserve"> </w:t>
      </w:r>
      <w:hyperlink r:id="rId242">
        <w:r w:rsidRPr="00433274">
          <w:rPr>
            <w:rFonts w:ascii="Myriad Pro" w:eastAsia="Calibri" w:hAnsi="Myriad Pro" w:cstheme="minorBidi"/>
            <w:color w:val="7030A0"/>
            <w:sz w:val="24"/>
            <w:szCs w:val="24"/>
            <w:u w:val="single"/>
            <w:lang w:eastAsia="en-US"/>
          </w:rPr>
          <w:t>http://webfoundation.org/docs/2018/01/Final_Data-for-development_Whats-next_Studie_EN.pdf</w:t>
        </w:r>
      </w:hyperlink>
    </w:p>
    <w:p w14:paraId="727B7D9A" w14:textId="5445AA44" w:rsidR="00526D83" w:rsidRPr="00731FC7" w:rsidRDefault="00526D83" w:rsidP="009D3471">
      <w:pPr>
        <w:pStyle w:val="Prrafodelista"/>
        <w:numPr>
          <w:ilvl w:val="0"/>
          <w:numId w:val="24"/>
        </w:numPr>
        <w:spacing w:after="0"/>
        <w:rPr>
          <w:rFonts w:ascii="Myriad Pro" w:hAnsi="Myriad Pro"/>
          <w:color w:val="0000FF"/>
          <w:sz w:val="24"/>
          <w:szCs w:val="24"/>
          <w:u w:val="single"/>
        </w:rPr>
      </w:pPr>
      <w:r w:rsidRPr="00731FC7">
        <w:rPr>
          <w:rFonts w:ascii="Myriad Pro" w:hAnsi="Myriad Pro"/>
          <w:sz w:val="24"/>
          <w:szCs w:val="24"/>
        </w:rPr>
        <w:t>Observatorio de responsabilidad social corporativa – La Responsabilidad Social Corporativa en las memorias anuales de las empresas del IBEX 35</w:t>
      </w:r>
      <w:r w:rsidR="00731FC7" w:rsidRPr="00731FC7">
        <w:rPr>
          <w:rFonts w:ascii="Myriad Pro" w:hAnsi="Myriad Pro"/>
          <w:sz w:val="24"/>
          <w:szCs w:val="24"/>
        </w:rPr>
        <w:t xml:space="preserve">. </w:t>
      </w:r>
      <w:r w:rsidRPr="00433274">
        <w:rPr>
          <w:rFonts w:ascii="Myriad Pro" w:eastAsia="Calibri" w:hAnsi="Myriad Pro" w:cstheme="minorBidi"/>
          <w:color w:val="7030A0"/>
          <w:sz w:val="24"/>
          <w:szCs w:val="24"/>
          <w:u w:val="single"/>
          <w:lang w:eastAsia="en-US"/>
        </w:rPr>
        <w:t>https://observatoriorsc.org/la-responsabilidad-social-corporativa-en-las-memorias-anuales-de-las-empresas-del-ibex-35/</w:t>
      </w:r>
    </w:p>
    <w:p w14:paraId="23EB068D" w14:textId="082E0F83" w:rsidR="00526D83" w:rsidRPr="00731FC7" w:rsidRDefault="00526D83" w:rsidP="009D3471">
      <w:pPr>
        <w:pStyle w:val="Prrafodelista"/>
        <w:numPr>
          <w:ilvl w:val="0"/>
          <w:numId w:val="24"/>
        </w:numPr>
        <w:spacing w:after="0"/>
        <w:rPr>
          <w:rFonts w:ascii="Myriad Pro" w:hAnsi="Myriad Pro"/>
          <w:color w:val="0000FF"/>
          <w:sz w:val="24"/>
          <w:szCs w:val="24"/>
          <w:u w:val="single"/>
        </w:rPr>
      </w:pPr>
      <w:r w:rsidRPr="00731FC7">
        <w:rPr>
          <w:rFonts w:ascii="Myriad Pro" w:hAnsi="Myriad Pro"/>
          <w:sz w:val="24"/>
          <w:szCs w:val="24"/>
        </w:rPr>
        <w:t>Fundación Compromiso y Transparencia – Contribución y transparencia fiscal 2018</w:t>
      </w:r>
      <w:r w:rsidR="00731FC7" w:rsidRPr="00731FC7">
        <w:rPr>
          <w:rFonts w:ascii="Myriad Pro" w:hAnsi="Myriad Pro"/>
          <w:sz w:val="24"/>
          <w:szCs w:val="24"/>
        </w:rPr>
        <w:t xml:space="preserve">. </w:t>
      </w:r>
      <w:r w:rsidRPr="00433274">
        <w:rPr>
          <w:rFonts w:ascii="Myriad Pro" w:eastAsia="Calibri" w:hAnsi="Myriad Pro" w:cstheme="minorBidi"/>
          <w:color w:val="7030A0"/>
          <w:sz w:val="24"/>
          <w:szCs w:val="24"/>
          <w:u w:val="single"/>
          <w:lang w:eastAsia="en-US"/>
        </w:rPr>
        <w:t>https://www.compromisoytransparencia.com/tematicas-informes/responsabilidad-fiscal</w:t>
      </w:r>
    </w:p>
    <w:p w14:paraId="2E9CEAA8" w14:textId="537D4EAB" w:rsidR="00526D83" w:rsidRPr="00731FC7" w:rsidRDefault="00526D83" w:rsidP="009D3471">
      <w:pPr>
        <w:pStyle w:val="Prrafodelista"/>
        <w:numPr>
          <w:ilvl w:val="0"/>
          <w:numId w:val="24"/>
        </w:numPr>
        <w:spacing w:after="0"/>
        <w:rPr>
          <w:rFonts w:ascii="Myriad Pro" w:hAnsi="Myriad Pro"/>
          <w:color w:val="0000FF"/>
          <w:sz w:val="24"/>
          <w:szCs w:val="24"/>
          <w:u w:val="single"/>
          <w:lang w:val="en-US"/>
        </w:rPr>
      </w:pPr>
      <w:r w:rsidRPr="00731FC7">
        <w:rPr>
          <w:rFonts w:ascii="Myriad Pro" w:hAnsi="Myriad Pro"/>
          <w:sz w:val="24"/>
          <w:szCs w:val="24"/>
          <w:lang w:val="en-US"/>
        </w:rPr>
        <w:t>UNGP – Data Philanthropy: Public &amp; Private sector data sharing for global resilience</w:t>
      </w:r>
      <w:r w:rsidR="00731FC7" w:rsidRPr="00731FC7">
        <w:rPr>
          <w:rFonts w:ascii="Myriad Pro" w:hAnsi="Myriad Pro"/>
          <w:sz w:val="24"/>
          <w:szCs w:val="24"/>
          <w:lang w:val="en-US"/>
        </w:rPr>
        <w:t xml:space="preserve">. </w:t>
      </w:r>
      <w:r w:rsidRPr="009D3471">
        <w:rPr>
          <w:rFonts w:ascii="Myriad Pro" w:eastAsia="Calibri" w:hAnsi="Myriad Pro" w:cstheme="minorBidi"/>
          <w:color w:val="7030A0"/>
          <w:sz w:val="24"/>
          <w:szCs w:val="24"/>
          <w:u w:val="single"/>
          <w:lang w:val="en-GB" w:eastAsia="en-US"/>
        </w:rPr>
        <w:t>https://www.unglobalpulse.org/blog/data-philanthropy-public-private-sector-data-sharing-global-resilience</w:t>
      </w:r>
    </w:p>
    <w:p w14:paraId="2109B087" w14:textId="3C7DC156" w:rsidR="00526D83" w:rsidRPr="00433274" w:rsidRDefault="00526D83" w:rsidP="009D3471">
      <w:pPr>
        <w:pStyle w:val="Prrafodelista"/>
        <w:numPr>
          <w:ilvl w:val="0"/>
          <w:numId w:val="24"/>
        </w:numPr>
        <w:spacing w:after="0"/>
        <w:rPr>
          <w:rFonts w:ascii="Myriad Pro" w:hAnsi="Myriad Pro"/>
          <w:color w:val="0000FF"/>
          <w:sz w:val="24"/>
          <w:szCs w:val="24"/>
          <w:u w:val="single"/>
        </w:rPr>
      </w:pPr>
      <w:r w:rsidRPr="00F4597C">
        <w:rPr>
          <w:rFonts w:ascii="Myriad Pro" w:hAnsi="Myriad Pro"/>
          <w:sz w:val="24"/>
          <w:szCs w:val="24"/>
          <w:lang w:val="en-GB"/>
        </w:rPr>
        <w:t>Europea</w:t>
      </w:r>
      <w:r w:rsidR="00F4597C">
        <w:rPr>
          <w:rFonts w:ascii="Myriad Pro" w:hAnsi="Myriad Pro"/>
          <w:sz w:val="24"/>
          <w:szCs w:val="24"/>
          <w:lang w:val="en-GB"/>
        </w:rPr>
        <w:t>n Commission</w:t>
      </w:r>
      <w:r w:rsidRPr="00F4597C">
        <w:rPr>
          <w:rFonts w:ascii="Myriad Pro" w:hAnsi="Myriad Pro"/>
          <w:sz w:val="24"/>
          <w:szCs w:val="24"/>
          <w:lang w:val="en-GB"/>
        </w:rPr>
        <w:t xml:space="preserve"> – </w:t>
      </w:r>
      <w:r w:rsidR="00F4597C" w:rsidRPr="00F4597C">
        <w:rPr>
          <w:rFonts w:ascii="Myriad Pro" w:hAnsi="Myriad Pro"/>
          <w:sz w:val="24"/>
          <w:szCs w:val="24"/>
          <w:lang w:val="en-GB"/>
        </w:rPr>
        <w:t>Guidance on sharing private sector data.</w:t>
      </w:r>
      <w:r w:rsidR="00F4597C">
        <w:rPr>
          <w:rFonts w:ascii="Myriad Pro" w:hAnsi="Myriad Pro"/>
          <w:sz w:val="24"/>
          <w:szCs w:val="24"/>
          <w:lang w:val="en-GB"/>
        </w:rPr>
        <w:t xml:space="preserve"> </w:t>
      </w:r>
      <w:hyperlink r:id="rId243" w:history="1">
        <w:r w:rsidR="00F4597C" w:rsidRPr="00433274">
          <w:rPr>
            <w:rFonts w:ascii="Myriad Pro" w:eastAsia="Calibri" w:hAnsi="Myriad Pro" w:cstheme="minorBidi"/>
            <w:color w:val="7030A0"/>
            <w:sz w:val="24"/>
            <w:szCs w:val="24"/>
            <w:u w:val="single"/>
            <w:lang w:eastAsia="en-US"/>
          </w:rPr>
          <w:t>https://eur-lex.europa.eu/legal-content/EN/TXT/HTML/?uri=CELEX:52018SC0125&amp;from=EN</w:t>
        </w:r>
      </w:hyperlink>
      <w:r w:rsidR="00F4597C" w:rsidRPr="00433274">
        <w:t xml:space="preserve"> </w:t>
      </w:r>
    </w:p>
    <w:p w14:paraId="43496B38" w14:textId="5D18EFDF" w:rsidR="00526D83" w:rsidRPr="00731FC7" w:rsidRDefault="00526D83" w:rsidP="009D3471">
      <w:pPr>
        <w:pStyle w:val="Prrafodelista"/>
        <w:numPr>
          <w:ilvl w:val="0"/>
          <w:numId w:val="24"/>
        </w:numPr>
        <w:spacing w:after="0"/>
        <w:rPr>
          <w:rFonts w:ascii="Myriad Pro" w:hAnsi="Myriad Pro"/>
          <w:color w:val="0000FF"/>
          <w:sz w:val="24"/>
          <w:szCs w:val="24"/>
          <w:u w:val="single"/>
          <w:lang w:val="en-US"/>
        </w:rPr>
      </w:pPr>
      <w:r w:rsidRPr="00731FC7">
        <w:rPr>
          <w:rFonts w:ascii="Myriad Pro" w:hAnsi="Myriad Pro"/>
          <w:sz w:val="24"/>
          <w:szCs w:val="24"/>
          <w:lang w:val="en-US"/>
        </w:rPr>
        <w:t>ICO – Data sharing code of practice</w:t>
      </w:r>
      <w:r w:rsidR="00731FC7" w:rsidRPr="00731FC7">
        <w:rPr>
          <w:rFonts w:ascii="Myriad Pro" w:hAnsi="Myriad Pro"/>
          <w:sz w:val="24"/>
          <w:szCs w:val="24"/>
          <w:lang w:val="en-US"/>
        </w:rPr>
        <w:t xml:space="preserve">. </w:t>
      </w:r>
      <w:r w:rsidRPr="009D3471">
        <w:rPr>
          <w:rFonts w:ascii="Myriad Pro" w:eastAsia="Calibri" w:hAnsi="Myriad Pro" w:cstheme="minorBidi"/>
          <w:color w:val="7030A0"/>
          <w:sz w:val="24"/>
          <w:szCs w:val="24"/>
          <w:u w:val="single"/>
          <w:lang w:val="en-GB" w:eastAsia="en-US"/>
        </w:rPr>
        <w:t>https://ico.org.uk/media/for-organisations/documents/1068/data_sharing_code_of_practice.pdf</w:t>
      </w:r>
    </w:p>
    <w:p w14:paraId="7536562B" w14:textId="5648E0E7" w:rsidR="00526D83" w:rsidRPr="00731FC7" w:rsidRDefault="00526D83" w:rsidP="009D3471">
      <w:pPr>
        <w:pStyle w:val="Prrafodelista"/>
        <w:numPr>
          <w:ilvl w:val="0"/>
          <w:numId w:val="24"/>
        </w:numPr>
        <w:spacing w:after="0"/>
        <w:rPr>
          <w:rFonts w:ascii="Myriad Pro" w:hAnsi="Myriad Pro"/>
          <w:color w:val="0000FF"/>
          <w:sz w:val="24"/>
          <w:szCs w:val="24"/>
          <w:u w:val="single"/>
          <w:lang w:val="en-US"/>
        </w:rPr>
      </w:pPr>
      <w:r w:rsidRPr="00731FC7">
        <w:rPr>
          <w:rFonts w:ascii="Myriad Pro" w:hAnsi="Myriad Pro"/>
          <w:sz w:val="24"/>
          <w:szCs w:val="24"/>
          <w:lang w:val="en-US"/>
        </w:rPr>
        <w:lastRenderedPageBreak/>
        <w:t>MIT Connection Science – Data Cooperatives: Towards a Foundation for Decentralized Personal Data Management</w:t>
      </w:r>
      <w:r w:rsidR="00731FC7" w:rsidRPr="00731FC7">
        <w:rPr>
          <w:rFonts w:ascii="Myriad Pro" w:hAnsi="Myriad Pro"/>
          <w:sz w:val="24"/>
          <w:szCs w:val="24"/>
          <w:lang w:val="en-US"/>
        </w:rPr>
        <w:t xml:space="preserve">. </w:t>
      </w:r>
      <w:hyperlink r:id="rId244">
        <w:r w:rsidRPr="009D3471">
          <w:rPr>
            <w:rFonts w:ascii="Myriad Pro" w:eastAsia="Calibri" w:hAnsi="Myriad Pro" w:cstheme="minorBidi"/>
            <w:color w:val="7030A0"/>
            <w:sz w:val="24"/>
            <w:szCs w:val="24"/>
            <w:u w:val="single"/>
            <w:lang w:val="en-GB" w:eastAsia="en-US"/>
          </w:rPr>
          <w:t>https://arxiv.org/pdf/1905.08819.pdf</w:t>
        </w:r>
      </w:hyperlink>
      <w:r w:rsidRPr="00731FC7">
        <w:rPr>
          <w:rFonts w:ascii="Myriad Pro" w:hAnsi="Myriad Pro"/>
          <w:color w:val="0000FF"/>
          <w:sz w:val="24"/>
          <w:szCs w:val="24"/>
          <w:u w:val="single"/>
          <w:lang w:val="en-US"/>
        </w:rPr>
        <w:t xml:space="preserve"> </w:t>
      </w:r>
    </w:p>
    <w:p w14:paraId="210D9BB7" w14:textId="5C252BCC" w:rsidR="00526D83" w:rsidRPr="00731FC7" w:rsidRDefault="00526D83" w:rsidP="009D3471">
      <w:pPr>
        <w:pStyle w:val="Prrafodelista"/>
        <w:numPr>
          <w:ilvl w:val="0"/>
          <w:numId w:val="24"/>
        </w:numPr>
        <w:spacing w:after="0"/>
        <w:rPr>
          <w:rFonts w:ascii="Myriad Pro" w:hAnsi="Myriad Pro"/>
          <w:color w:val="0000FF"/>
          <w:sz w:val="24"/>
          <w:szCs w:val="24"/>
          <w:u w:val="single"/>
          <w:lang w:val="es-ES_tradnl"/>
        </w:rPr>
      </w:pPr>
      <w:r w:rsidRPr="00731FC7">
        <w:rPr>
          <w:rFonts w:ascii="Myriad Pro" w:hAnsi="Myriad Pro"/>
          <w:sz w:val="24"/>
          <w:szCs w:val="24"/>
          <w:lang w:val="en-US"/>
        </w:rPr>
        <w:t>Cambridge University Judge Business School for the European Commission - Study on Personal Data Stores</w:t>
      </w:r>
      <w:r w:rsidR="00731FC7" w:rsidRPr="00731FC7">
        <w:rPr>
          <w:rFonts w:ascii="Myriad Pro" w:hAnsi="Myriad Pro"/>
          <w:sz w:val="24"/>
          <w:szCs w:val="24"/>
          <w:lang w:val="en-US"/>
        </w:rPr>
        <w:t xml:space="preserve">. </w:t>
      </w:r>
      <w:hyperlink r:id="rId245">
        <w:r w:rsidRPr="00433274">
          <w:rPr>
            <w:rFonts w:ascii="Myriad Pro" w:eastAsia="Calibri" w:hAnsi="Myriad Pro" w:cstheme="minorBidi"/>
            <w:color w:val="7030A0"/>
            <w:sz w:val="24"/>
            <w:szCs w:val="24"/>
            <w:u w:val="single"/>
            <w:lang w:eastAsia="en-US"/>
          </w:rPr>
          <w:t>https://ec.europa.eu/digital-single-market/en/news/study-personal-data-stores-conducted-cambridge-university-judge-business-school</w:t>
        </w:r>
      </w:hyperlink>
      <w:r w:rsidRPr="00433274">
        <w:rPr>
          <w:rFonts w:ascii="Myriad Pro" w:eastAsia="Calibri" w:hAnsi="Myriad Pro" w:cstheme="minorBidi"/>
          <w:color w:val="7030A0"/>
          <w:sz w:val="24"/>
          <w:szCs w:val="24"/>
          <w:u w:val="single"/>
          <w:lang w:eastAsia="en-US"/>
        </w:rPr>
        <w:t xml:space="preserve"> </w:t>
      </w:r>
    </w:p>
    <w:p w14:paraId="1396067F" w14:textId="2E46D399" w:rsidR="00526D83" w:rsidRPr="009D3471" w:rsidRDefault="00526D83" w:rsidP="009D3471">
      <w:pPr>
        <w:pStyle w:val="Prrafodelista"/>
        <w:numPr>
          <w:ilvl w:val="0"/>
          <w:numId w:val="24"/>
        </w:numPr>
        <w:spacing w:after="0"/>
        <w:rPr>
          <w:rFonts w:ascii="Myriad Pro" w:eastAsia="Calibri" w:hAnsi="Myriad Pro" w:cstheme="minorBidi"/>
          <w:color w:val="7030A0"/>
          <w:sz w:val="24"/>
          <w:szCs w:val="24"/>
          <w:u w:val="single"/>
          <w:lang w:val="en-GB" w:eastAsia="en-US"/>
        </w:rPr>
      </w:pPr>
      <w:r w:rsidRPr="00731FC7">
        <w:rPr>
          <w:rFonts w:ascii="Myriad Pro" w:hAnsi="Myriad Pro"/>
          <w:sz w:val="24"/>
          <w:szCs w:val="24"/>
          <w:lang w:val="en-US"/>
        </w:rPr>
        <w:t>Nesta – The Open Data Challenge Series Handbook</w:t>
      </w:r>
      <w:r w:rsidR="00731FC7" w:rsidRPr="00731FC7">
        <w:rPr>
          <w:rFonts w:ascii="Myriad Pro" w:hAnsi="Myriad Pro"/>
          <w:sz w:val="24"/>
          <w:szCs w:val="24"/>
          <w:lang w:val="en-US"/>
        </w:rPr>
        <w:t xml:space="preserve">. </w:t>
      </w:r>
      <w:r w:rsidRPr="009D3471">
        <w:rPr>
          <w:rFonts w:ascii="Myriad Pro" w:eastAsia="Calibri" w:hAnsi="Myriad Pro" w:cstheme="minorBidi"/>
          <w:color w:val="7030A0"/>
          <w:sz w:val="24"/>
          <w:szCs w:val="24"/>
          <w:u w:val="single"/>
          <w:lang w:val="en-GB" w:eastAsia="en-US"/>
        </w:rPr>
        <w:t>https://www.nesta.org.uk/documents/424/nesta-odi-odcs-handbook.pdf</w:t>
      </w:r>
    </w:p>
    <w:p w14:paraId="4813644D" w14:textId="4D76AA4F" w:rsidR="00526D83" w:rsidRPr="009D3471" w:rsidRDefault="00526D83" w:rsidP="009D3471">
      <w:pPr>
        <w:pStyle w:val="Prrafodelista"/>
        <w:numPr>
          <w:ilvl w:val="0"/>
          <w:numId w:val="24"/>
        </w:numPr>
        <w:spacing w:after="0"/>
        <w:rPr>
          <w:rFonts w:ascii="Myriad Pro" w:eastAsia="Calibri" w:hAnsi="Myriad Pro" w:cstheme="minorBidi"/>
          <w:color w:val="7030A0"/>
          <w:sz w:val="24"/>
          <w:szCs w:val="24"/>
          <w:u w:val="single"/>
          <w:lang w:val="en-GB" w:eastAsia="en-US"/>
        </w:rPr>
      </w:pPr>
      <w:r w:rsidRPr="00731FC7">
        <w:rPr>
          <w:rFonts w:ascii="Myriad Pro" w:hAnsi="Myriad Pro"/>
          <w:sz w:val="24"/>
          <w:szCs w:val="24"/>
          <w:lang w:val="en-US"/>
        </w:rPr>
        <w:t>IEEE – The Personal Data Store Approach to Personal Data Security</w:t>
      </w:r>
      <w:r w:rsidR="00731FC7" w:rsidRPr="00731FC7">
        <w:rPr>
          <w:rFonts w:ascii="Myriad Pro" w:hAnsi="Myriad Pro"/>
          <w:sz w:val="24"/>
          <w:szCs w:val="24"/>
          <w:lang w:val="en-US"/>
        </w:rPr>
        <w:t xml:space="preserve">. </w:t>
      </w:r>
      <w:hyperlink r:id="rId246">
        <w:r w:rsidRPr="009D3471">
          <w:rPr>
            <w:rFonts w:ascii="Myriad Pro" w:eastAsia="Calibri" w:hAnsi="Myriad Pro" w:cstheme="minorBidi"/>
            <w:color w:val="7030A0"/>
            <w:sz w:val="24"/>
            <w:szCs w:val="24"/>
            <w:u w:val="single"/>
            <w:lang w:val="en-GB" w:eastAsia="en-US"/>
          </w:rPr>
          <w:t>https://ieeexplore.ieee.org/document/6336755</w:t>
        </w:r>
      </w:hyperlink>
    </w:p>
    <w:p w14:paraId="18795933" w14:textId="25962C61" w:rsidR="00526D83" w:rsidRPr="00731FC7" w:rsidRDefault="00526D83" w:rsidP="009D3471">
      <w:pPr>
        <w:pStyle w:val="Prrafodelista"/>
        <w:numPr>
          <w:ilvl w:val="0"/>
          <w:numId w:val="24"/>
        </w:numPr>
        <w:spacing w:after="0"/>
        <w:rPr>
          <w:rFonts w:ascii="Myriad Pro" w:hAnsi="Myriad Pro"/>
          <w:color w:val="0000FF"/>
          <w:sz w:val="24"/>
          <w:szCs w:val="24"/>
          <w:u w:val="single"/>
          <w:lang w:val="en-US"/>
        </w:rPr>
      </w:pPr>
      <w:r w:rsidRPr="00731FC7">
        <w:rPr>
          <w:rFonts w:ascii="Myriad Pro" w:hAnsi="Myriad Pro"/>
          <w:sz w:val="24"/>
          <w:szCs w:val="24"/>
          <w:lang w:val="en-US"/>
        </w:rPr>
        <w:t>Urban Institute – Data Philanthropy Unlocking the Power of Private Data for Public Good</w:t>
      </w:r>
      <w:r w:rsidR="00731FC7" w:rsidRPr="00731FC7">
        <w:rPr>
          <w:rFonts w:ascii="Myriad Pro" w:hAnsi="Myriad Pro"/>
          <w:sz w:val="24"/>
          <w:szCs w:val="24"/>
          <w:lang w:val="en-US"/>
        </w:rPr>
        <w:t xml:space="preserve">. </w:t>
      </w:r>
      <w:r w:rsidRPr="009D3471">
        <w:rPr>
          <w:rFonts w:ascii="Myriad Pro" w:eastAsia="Calibri" w:hAnsi="Myriad Pro" w:cstheme="minorBidi"/>
          <w:color w:val="7030A0"/>
          <w:sz w:val="24"/>
          <w:szCs w:val="24"/>
          <w:u w:val="single"/>
          <w:lang w:val="en-GB" w:eastAsia="en-US"/>
        </w:rPr>
        <w:t>https://www.urban.org/sites/default/files/publication/98810/data_philanthropy_unlocking_the_power_of_private_data_for_public_good_2.pdf</w:t>
      </w:r>
    </w:p>
    <w:p w14:paraId="2CAD8354" w14:textId="10A0AE4F" w:rsidR="00526D83" w:rsidRPr="00433274" w:rsidRDefault="00526D83" w:rsidP="009D3471">
      <w:pPr>
        <w:pStyle w:val="Prrafodelista"/>
        <w:numPr>
          <w:ilvl w:val="0"/>
          <w:numId w:val="24"/>
        </w:numPr>
        <w:spacing w:after="0"/>
        <w:rPr>
          <w:rFonts w:ascii="Myriad Pro" w:eastAsia="Calibri" w:hAnsi="Myriad Pro" w:cstheme="minorBidi"/>
          <w:color w:val="7030A0"/>
          <w:sz w:val="24"/>
          <w:szCs w:val="24"/>
          <w:u w:val="single"/>
          <w:lang w:eastAsia="en-US"/>
        </w:rPr>
      </w:pPr>
      <w:r w:rsidRPr="00731FC7">
        <w:rPr>
          <w:rFonts w:ascii="Myriad Pro" w:hAnsi="Myriad Pro"/>
          <w:sz w:val="24"/>
          <w:szCs w:val="24"/>
          <w:lang w:val="en-US"/>
        </w:rPr>
        <w:t>Accenture – Value of data: The dawn of the data marketplace</w:t>
      </w:r>
      <w:r w:rsidR="00731FC7" w:rsidRPr="00731FC7">
        <w:rPr>
          <w:rFonts w:ascii="Myriad Pro" w:hAnsi="Myriad Pro"/>
          <w:sz w:val="24"/>
          <w:szCs w:val="24"/>
          <w:lang w:val="en-US"/>
        </w:rPr>
        <w:t xml:space="preserve">. </w:t>
      </w:r>
      <w:hyperlink r:id="rId247">
        <w:r w:rsidRPr="00433274">
          <w:rPr>
            <w:rFonts w:ascii="Myriad Pro" w:eastAsia="Calibri" w:hAnsi="Myriad Pro" w:cstheme="minorBidi"/>
            <w:color w:val="7030A0"/>
            <w:sz w:val="24"/>
            <w:szCs w:val="24"/>
            <w:u w:val="single"/>
            <w:lang w:eastAsia="en-US"/>
          </w:rPr>
          <w:t>https://www.accenture.com/us-en/insights/high-tech/dawn-of-data-marketplace</w:t>
        </w:r>
      </w:hyperlink>
    </w:p>
    <w:p w14:paraId="22A0B11E" w14:textId="445DADFC" w:rsidR="00526D83" w:rsidRPr="00731FC7" w:rsidRDefault="00526D83" w:rsidP="009D3471">
      <w:pPr>
        <w:pStyle w:val="Prrafodelista"/>
        <w:numPr>
          <w:ilvl w:val="0"/>
          <w:numId w:val="24"/>
        </w:numPr>
        <w:spacing w:after="0"/>
        <w:rPr>
          <w:rFonts w:ascii="Myriad Pro" w:hAnsi="Myriad Pro"/>
          <w:color w:val="0000FF"/>
          <w:sz w:val="24"/>
          <w:szCs w:val="24"/>
          <w:u w:val="single"/>
          <w:lang w:val="es-ES_tradnl"/>
        </w:rPr>
      </w:pPr>
      <w:r w:rsidRPr="00731FC7">
        <w:rPr>
          <w:rFonts w:ascii="Myriad Pro" w:hAnsi="Myriad Pro"/>
          <w:sz w:val="24"/>
          <w:szCs w:val="24"/>
          <w:lang w:val="en-US"/>
        </w:rPr>
        <w:t>Gartner – Understand the Data Brokerage Market Before Choosing a Provider</w:t>
      </w:r>
      <w:r w:rsidR="00731FC7" w:rsidRPr="00731FC7">
        <w:rPr>
          <w:rFonts w:ascii="Myriad Pro" w:hAnsi="Myriad Pro"/>
          <w:sz w:val="24"/>
          <w:szCs w:val="24"/>
          <w:lang w:val="en-US"/>
        </w:rPr>
        <w:t xml:space="preserve">. </w:t>
      </w:r>
      <w:hyperlink r:id="rId248">
        <w:r w:rsidRPr="00433274">
          <w:rPr>
            <w:rFonts w:ascii="Myriad Pro" w:eastAsia="Calibri" w:hAnsi="Myriad Pro" w:cstheme="minorBidi"/>
            <w:color w:val="7030A0"/>
            <w:sz w:val="24"/>
            <w:szCs w:val="24"/>
            <w:u w:val="single"/>
            <w:lang w:eastAsia="en-US"/>
          </w:rPr>
          <w:t>https://www.gartner.com/en/documents/3746017/understand-the-data-brokerage-market-before-choosing-a-p</w:t>
        </w:r>
      </w:hyperlink>
    </w:p>
    <w:p w14:paraId="63728B72" w14:textId="5357B957" w:rsidR="00526D83" w:rsidRPr="00731FC7" w:rsidRDefault="00526D83" w:rsidP="009D3471">
      <w:pPr>
        <w:pStyle w:val="Prrafodelista"/>
        <w:numPr>
          <w:ilvl w:val="0"/>
          <w:numId w:val="24"/>
        </w:numPr>
        <w:spacing w:after="0"/>
        <w:rPr>
          <w:rFonts w:ascii="Myriad Pro" w:hAnsi="Myriad Pro"/>
          <w:color w:val="0000FF"/>
          <w:sz w:val="24"/>
          <w:szCs w:val="24"/>
          <w:u w:val="single"/>
          <w:lang w:val="es-ES_tradnl"/>
        </w:rPr>
      </w:pPr>
      <w:r w:rsidRPr="00731FC7">
        <w:rPr>
          <w:rFonts w:ascii="Myriad Pro" w:hAnsi="Myriad Pro"/>
          <w:sz w:val="24"/>
          <w:szCs w:val="24"/>
          <w:lang w:val="en-US"/>
        </w:rPr>
        <w:t>Federal Trade Commission – A Call for Transparency and Accountability</w:t>
      </w:r>
      <w:r w:rsidR="00731FC7" w:rsidRPr="00731FC7">
        <w:rPr>
          <w:rFonts w:ascii="Myriad Pro" w:hAnsi="Myriad Pro"/>
          <w:sz w:val="24"/>
          <w:szCs w:val="24"/>
          <w:lang w:val="en-US"/>
        </w:rPr>
        <w:t xml:space="preserve">. </w:t>
      </w:r>
      <w:hyperlink r:id="rId249">
        <w:r w:rsidRPr="00433274">
          <w:rPr>
            <w:rFonts w:ascii="Myriad Pro" w:eastAsia="Calibri" w:hAnsi="Myriad Pro" w:cstheme="minorBidi"/>
            <w:color w:val="7030A0"/>
            <w:sz w:val="24"/>
            <w:szCs w:val="24"/>
            <w:u w:val="single"/>
            <w:lang w:eastAsia="en-US"/>
          </w:rPr>
          <w:t>https://www.ftc.gov/system/files/documents/reports/data-brokers-call-transparency-accountability-report-federal-trade-commission-may-2014/140527databrokerreport.pdf</w:t>
        </w:r>
      </w:hyperlink>
    </w:p>
    <w:p w14:paraId="430C8D9E" w14:textId="05607403" w:rsidR="00526D83" w:rsidRPr="00731FC7" w:rsidRDefault="00526D83" w:rsidP="009D3471">
      <w:pPr>
        <w:pStyle w:val="Prrafodelista"/>
        <w:numPr>
          <w:ilvl w:val="0"/>
          <w:numId w:val="24"/>
        </w:numPr>
        <w:spacing w:after="0"/>
        <w:rPr>
          <w:rFonts w:ascii="Myriad Pro" w:hAnsi="Myriad Pro"/>
          <w:color w:val="0000FF"/>
          <w:sz w:val="24"/>
          <w:szCs w:val="24"/>
          <w:u w:val="single"/>
          <w:lang w:val="en-US"/>
        </w:rPr>
      </w:pPr>
      <w:r w:rsidRPr="00731FC7">
        <w:rPr>
          <w:rFonts w:ascii="Myriad Pro" w:hAnsi="Myriad Pro"/>
          <w:sz w:val="24"/>
          <w:szCs w:val="24"/>
          <w:lang w:val="en-US"/>
        </w:rPr>
        <w:t>Open Data Institute – Data trusts: lessons from three pilots</w:t>
      </w:r>
      <w:r w:rsidR="00731FC7" w:rsidRPr="00731FC7">
        <w:rPr>
          <w:rFonts w:ascii="Myriad Pro" w:hAnsi="Myriad Pro"/>
          <w:sz w:val="24"/>
          <w:szCs w:val="24"/>
          <w:lang w:val="en-US"/>
        </w:rPr>
        <w:t xml:space="preserve">. </w:t>
      </w:r>
      <w:hyperlink r:id="rId250">
        <w:r w:rsidRPr="009D3471">
          <w:rPr>
            <w:rFonts w:ascii="Myriad Pro" w:eastAsia="Calibri" w:hAnsi="Myriad Pro" w:cstheme="minorBidi"/>
            <w:color w:val="7030A0"/>
            <w:sz w:val="24"/>
            <w:szCs w:val="24"/>
            <w:u w:val="single"/>
            <w:lang w:val="en-GB" w:eastAsia="en-US"/>
          </w:rPr>
          <w:t>https://docs.google.com/document/d/118RqyUAWP3WIyyCO4iLUT3oOobnYJGibEhspr2v87jg/edit</w:t>
        </w:r>
      </w:hyperlink>
    </w:p>
    <w:p w14:paraId="013E7FFB" w14:textId="57B2C2CD" w:rsidR="00526D83" w:rsidRPr="00731FC7" w:rsidRDefault="00526D83" w:rsidP="009D3471">
      <w:pPr>
        <w:pStyle w:val="Prrafodelista"/>
        <w:numPr>
          <w:ilvl w:val="0"/>
          <w:numId w:val="24"/>
        </w:numPr>
        <w:spacing w:after="0"/>
        <w:rPr>
          <w:rFonts w:ascii="Myriad Pro" w:hAnsi="Myriad Pro"/>
          <w:sz w:val="24"/>
          <w:szCs w:val="24"/>
          <w:lang w:val="es-ES_tradnl"/>
        </w:rPr>
      </w:pPr>
      <w:r w:rsidRPr="00731FC7">
        <w:rPr>
          <w:rFonts w:ascii="Myriad Pro" w:hAnsi="Myriad Pro"/>
          <w:sz w:val="24"/>
          <w:szCs w:val="24"/>
          <w:lang w:val="en-US"/>
        </w:rPr>
        <w:t>Data Commons Blueprint – A high-trust, lower-cost alternative to enabling data integration and reuse</w:t>
      </w:r>
      <w:r w:rsidR="00731FC7" w:rsidRPr="00731FC7">
        <w:rPr>
          <w:rFonts w:ascii="Myriad Pro" w:hAnsi="Myriad Pro"/>
          <w:sz w:val="24"/>
          <w:szCs w:val="24"/>
          <w:lang w:val="en-US"/>
        </w:rPr>
        <w:t xml:space="preserve">. </w:t>
      </w:r>
      <w:hyperlink r:id="rId251">
        <w:r w:rsidRPr="00433274">
          <w:rPr>
            <w:rFonts w:ascii="Myriad Pro" w:eastAsia="Calibri" w:hAnsi="Myriad Pro" w:cstheme="minorBidi"/>
            <w:color w:val="7030A0"/>
            <w:sz w:val="24"/>
            <w:szCs w:val="24"/>
            <w:u w:val="single"/>
            <w:lang w:eastAsia="en-US"/>
          </w:rPr>
          <w:t>https://static1.squarespace.com/static/57ad3087579fb3721152748f/t/58aea6b217bffc1271903b2e/1487840951842/Data+Commons+Blueprint+V1.3.pdf</w:t>
        </w:r>
      </w:hyperlink>
    </w:p>
    <w:p w14:paraId="522D970F" w14:textId="7B0E3C08" w:rsidR="00526D83" w:rsidRPr="00731FC7" w:rsidRDefault="00526D83" w:rsidP="009D3471">
      <w:pPr>
        <w:pStyle w:val="Prrafodelista"/>
        <w:numPr>
          <w:ilvl w:val="0"/>
          <w:numId w:val="24"/>
        </w:numPr>
        <w:spacing w:after="0"/>
        <w:rPr>
          <w:rFonts w:ascii="Myriad Pro" w:hAnsi="Myriad Pro"/>
          <w:color w:val="0000FF"/>
          <w:sz w:val="24"/>
          <w:szCs w:val="24"/>
          <w:u w:val="single"/>
          <w:lang w:val="en-US"/>
        </w:rPr>
      </w:pPr>
      <w:r w:rsidRPr="00731FC7">
        <w:rPr>
          <w:rFonts w:ascii="Myriad Pro" w:hAnsi="Myriad Pro"/>
          <w:sz w:val="24"/>
          <w:szCs w:val="24"/>
          <w:lang w:val="en-US"/>
        </w:rPr>
        <w:lastRenderedPageBreak/>
        <w:t>GovLab, UNICEF and Omydiar Network – An introduction to data collaboratives</w:t>
      </w:r>
      <w:r w:rsidR="00731FC7" w:rsidRPr="00731FC7">
        <w:rPr>
          <w:rFonts w:ascii="Myriad Pro" w:hAnsi="Myriad Pro"/>
          <w:sz w:val="24"/>
          <w:szCs w:val="24"/>
          <w:lang w:val="en-US"/>
        </w:rPr>
        <w:t xml:space="preserve">. </w:t>
      </w:r>
      <w:hyperlink r:id="rId252">
        <w:r w:rsidRPr="009D3471">
          <w:rPr>
            <w:rFonts w:ascii="Myriad Pro" w:eastAsia="Calibri" w:hAnsi="Myriad Pro" w:cstheme="minorBidi"/>
            <w:color w:val="7030A0"/>
            <w:sz w:val="24"/>
            <w:szCs w:val="24"/>
            <w:u w:val="single"/>
            <w:lang w:val="en-GB" w:eastAsia="en-US"/>
          </w:rPr>
          <w:t>http://datacollaboratives.org/static/files/data-collaboratives-intro.pdf</w:t>
        </w:r>
      </w:hyperlink>
    </w:p>
    <w:p w14:paraId="06F7B0E2" w14:textId="2A962656" w:rsidR="00526D83" w:rsidRPr="00731FC7" w:rsidRDefault="00526D83" w:rsidP="009D3471">
      <w:pPr>
        <w:pStyle w:val="Prrafodelista"/>
        <w:numPr>
          <w:ilvl w:val="0"/>
          <w:numId w:val="24"/>
        </w:numPr>
        <w:spacing w:after="0"/>
        <w:rPr>
          <w:rFonts w:ascii="Myriad Pro" w:hAnsi="Myriad Pro"/>
          <w:color w:val="0000FF"/>
          <w:sz w:val="24"/>
          <w:szCs w:val="24"/>
          <w:u w:val="single"/>
          <w:lang w:val="en-US"/>
        </w:rPr>
      </w:pPr>
      <w:r w:rsidRPr="00731FC7">
        <w:rPr>
          <w:rFonts w:ascii="Myriad Pro" w:hAnsi="Myriad Pro"/>
          <w:sz w:val="24"/>
          <w:szCs w:val="24"/>
          <w:lang w:val="en-US"/>
        </w:rPr>
        <w:t>Peter Suber – Open Access Overview</w:t>
      </w:r>
      <w:r w:rsidR="00731FC7" w:rsidRPr="00731FC7">
        <w:rPr>
          <w:rFonts w:ascii="Myriad Pro" w:hAnsi="Myriad Pro"/>
          <w:sz w:val="24"/>
          <w:szCs w:val="24"/>
          <w:lang w:val="en-US"/>
        </w:rPr>
        <w:t xml:space="preserve">. </w:t>
      </w:r>
      <w:hyperlink r:id="rId253">
        <w:r w:rsidRPr="009D3471">
          <w:rPr>
            <w:rFonts w:ascii="Myriad Pro" w:eastAsia="Calibri" w:hAnsi="Myriad Pro" w:cstheme="minorBidi"/>
            <w:color w:val="7030A0"/>
            <w:sz w:val="24"/>
            <w:szCs w:val="24"/>
            <w:u w:val="single"/>
            <w:lang w:val="en-GB" w:eastAsia="en-US"/>
          </w:rPr>
          <w:t>http://legacy.earlham.edu/~peters/fos/overview.htm</w:t>
        </w:r>
      </w:hyperlink>
    </w:p>
    <w:p w14:paraId="09FCDC71" w14:textId="4969416A" w:rsidR="00526D83" w:rsidRPr="00731FC7" w:rsidRDefault="00526D83" w:rsidP="009D3471">
      <w:pPr>
        <w:pStyle w:val="Prrafodelista"/>
        <w:numPr>
          <w:ilvl w:val="0"/>
          <w:numId w:val="24"/>
        </w:numPr>
        <w:spacing w:after="0"/>
        <w:rPr>
          <w:rFonts w:ascii="Myriad Pro" w:hAnsi="Myriad Pro"/>
          <w:color w:val="0000FF"/>
          <w:sz w:val="24"/>
          <w:szCs w:val="24"/>
          <w:u w:val="single"/>
          <w:lang w:val="en-US"/>
        </w:rPr>
      </w:pPr>
      <w:r w:rsidRPr="00731FC7">
        <w:rPr>
          <w:rFonts w:ascii="Myriad Pro" w:hAnsi="Myriad Pro"/>
          <w:sz w:val="24"/>
          <w:szCs w:val="24"/>
          <w:lang w:val="en-US"/>
        </w:rPr>
        <w:t>Creative Commons – Open Access</w:t>
      </w:r>
      <w:r w:rsidR="00731FC7" w:rsidRPr="00731FC7">
        <w:rPr>
          <w:rFonts w:ascii="Myriad Pro" w:hAnsi="Myriad Pro"/>
          <w:sz w:val="24"/>
          <w:szCs w:val="24"/>
          <w:lang w:val="en-US"/>
        </w:rPr>
        <w:t xml:space="preserve">. </w:t>
      </w:r>
      <w:hyperlink r:id="rId254">
        <w:r w:rsidRPr="009D3471">
          <w:rPr>
            <w:rFonts w:ascii="Myriad Pro" w:eastAsia="Calibri" w:hAnsi="Myriad Pro" w:cstheme="minorBidi"/>
            <w:color w:val="7030A0"/>
            <w:sz w:val="24"/>
            <w:szCs w:val="24"/>
            <w:u w:val="single"/>
            <w:lang w:val="en-GB" w:eastAsia="en-US"/>
          </w:rPr>
          <w:t>https://creativecommons.org/about/program-areas/open-access/</w:t>
        </w:r>
      </w:hyperlink>
    </w:p>
    <w:p w14:paraId="04D4637F" w14:textId="61F9A407" w:rsidR="00526D83" w:rsidRPr="00731FC7" w:rsidRDefault="00526D83" w:rsidP="009D3471">
      <w:pPr>
        <w:pStyle w:val="Prrafodelista"/>
        <w:numPr>
          <w:ilvl w:val="0"/>
          <w:numId w:val="24"/>
        </w:numPr>
        <w:spacing w:after="0"/>
        <w:rPr>
          <w:rFonts w:ascii="Myriad Pro" w:hAnsi="Myriad Pro"/>
          <w:sz w:val="24"/>
          <w:szCs w:val="24"/>
          <w:lang w:val="es-ES_tradnl"/>
        </w:rPr>
      </w:pPr>
      <w:r w:rsidRPr="00731FC7">
        <w:rPr>
          <w:rFonts w:ascii="Myriad Pro" w:hAnsi="Myriad Pro"/>
          <w:sz w:val="24"/>
          <w:szCs w:val="24"/>
          <w:lang w:val="en-US"/>
        </w:rPr>
        <w:t>H2020 Programme – Guidelines to the Rules on Open Access to Scientific Publications and Open Access to Research Data</w:t>
      </w:r>
      <w:r w:rsidR="00731FC7" w:rsidRPr="00731FC7">
        <w:rPr>
          <w:rFonts w:ascii="Myriad Pro" w:hAnsi="Myriad Pro"/>
          <w:sz w:val="24"/>
          <w:szCs w:val="24"/>
          <w:lang w:val="en-US"/>
        </w:rPr>
        <w:t xml:space="preserve">. </w:t>
      </w:r>
      <w:hyperlink r:id="rId255">
        <w:r w:rsidRPr="00433274">
          <w:rPr>
            <w:rFonts w:ascii="Myriad Pro" w:eastAsia="Calibri" w:hAnsi="Myriad Pro" w:cstheme="minorBidi"/>
            <w:color w:val="7030A0"/>
            <w:sz w:val="24"/>
            <w:szCs w:val="24"/>
            <w:u w:val="single"/>
            <w:lang w:eastAsia="en-US"/>
          </w:rPr>
          <w:t>https://ec.europa.eu/research/participants/data/ref/h2020/grants_manual/hi/oa_pilot/h2020-hi-oa-pilot-guide_en.pdf</w:t>
        </w:r>
      </w:hyperlink>
    </w:p>
    <w:p w14:paraId="29707974" w14:textId="1C98AA89" w:rsidR="00526D83" w:rsidRPr="00731FC7" w:rsidRDefault="00526D83" w:rsidP="00F84120"/>
    <w:p w14:paraId="5229B050" w14:textId="77777777" w:rsidR="00B7528C" w:rsidRPr="00731FC7" w:rsidRDefault="00B7528C"/>
    <w:sectPr w:rsidR="00B7528C" w:rsidRPr="00731FC7" w:rsidSect="003021E2">
      <w:type w:val="continuous"/>
      <w:pgSz w:w="11906" w:h="16838"/>
      <w:pgMar w:top="1950" w:right="1412" w:bottom="1702" w:left="1418" w:header="227"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97FB9E" w14:textId="77777777" w:rsidR="00F713DD" w:rsidRDefault="00F713DD">
      <w:pPr>
        <w:spacing w:before="0" w:after="0" w:line="240" w:lineRule="auto"/>
      </w:pPr>
      <w:r>
        <w:separator/>
      </w:r>
    </w:p>
    <w:p w14:paraId="329C8024" w14:textId="77777777" w:rsidR="00F713DD" w:rsidRDefault="00F713DD"/>
  </w:endnote>
  <w:endnote w:type="continuationSeparator" w:id="0">
    <w:p w14:paraId="6B5706B5" w14:textId="77777777" w:rsidR="00F713DD" w:rsidRDefault="00F713DD">
      <w:pPr>
        <w:spacing w:before="0" w:after="0" w:line="240" w:lineRule="auto"/>
      </w:pPr>
      <w:r>
        <w:continuationSeparator/>
      </w:r>
    </w:p>
    <w:p w14:paraId="04A94066" w14:textId="77777777" w:rsidR="00F713DD" w:rsidRDefault="00F713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yriad Pro">
    <w:altName w:val="Arial"/>
    <w:panose1 w:val="020B0503030403020204"/>
    <w:charset w:val="00"/>
    <w:family w:val="roman"/>
    <w:notTrueType/>
    <w:pitch w:val="default"/>
  </w:font>
  <w:font w:name="Calibri">
    <w:panose1 w:val="020F0502020204030204"/>
    <w:charset w:val="00"/>
    <w:family w:val="swiss"/>
    <w:pitch w:val="variable"/>
    <w:sig w:usb0="E0002AFF" w:usb1="4000ACFF" w:usb2="00000001" w:usb3="00000000" w:csb0="000001FF" w:csb1="00000000"/>
  </w:font>
  <w:font w:name="Times New Roman (Títulos en alf">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Times New Roman (Cuerpo en alfa">
    <w:altName w:val="Times New Roman"/>
    <w:panose1 w:val="00000000000000000000"/>
    <w:charset w:val="00"/>
    <w:family w:val="roman"/>
    <w:notTrueType/>
    <w:pitch w:val="default"/>
  </w:font>
  <w:font w:name="Neutra Text">
    <w:altName w:val="Times New Roman"/>
    <w:charset w:val="00"/>
    <w:family w:val="auto"/>
    <w:pitch w:val="default"/>
  </w:font>
  <w:font w:name="Lucida Grande">
    <w:altName w:val="Segoe UI"/>
    <w:panose1 w:val="00000000000000000000"/>
    <w:charset w:val="00"/>
    <w:family w:val="roman"/>
    <w:notTrueType/>
    <w:pitch w:val="default"/>
  </w:font>
  <w:font w:name="Liberation Serif">
    <w:altName w:val="Times New Roman"/>
    <w:charset w:val="00"/>
    <w:family w:val="auto"/>
    <w:pitch w:val="default"/>
  </w:font>
  <w:font w:name="Liberation Sans">
    <w:altName w:val="Arial"/>
    <w:charset w:val="00"/>
    <w:family w:val="auto"/>
    <w:pitch w:val="default"/>
  </w:font>
  <w:font w:name="OpenSymbol">
    <w:altName w:val="Cambria"/>
    <w:panose1 w:val="00000000000000000000"/>
    <w:charset w:val="00"/>
    <w:family w:val="roman"/>
    <w:notTrueType/>
    <w:pitch w:val="default"/>
  </w:font>
  <w:font w:name="DejaVu Sans">
    <w:altName w:val="Verdana"/>
    <w:panose1 w:val="00000000000000000000"/>
    <w:charset w:val="00"/>
    <w:family w:val="roman"/>
    <w:notTrueType/>
    <w:pitch w:val="default"/>
  </w:font>
  <w:font w:name="Source Han Sans CN">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Myriad Pro Semibold">
    <w:altName w:val="Corbel"/>
    <w:panose1 w:val="00000000000000000000"/>
    <w:charset w:val="00"/>
    <w:family w:val="roman"/>
    <w:notTrueType/>
    <w:pitch w:val="default"/>
  </w:font>
  <w:font w:name="Neutra Text Demi SC">
    <w:altName w:val="Times New Roman"/>
    <w:panose1 w:val="00000000000000000000"/>
    <w:charset w:val="00"/>
    <w:family w:val="roman"/>
    <w:notTrueType/>
    <w:pitch w:val="default"/>
  </w:font>
  <w:font w:name="Open Sans">
    <w:altName w:val="Segoe UI"/>
    <w:panose1 w:val="020B0606030504020204"/>
    <w:charset w:val="00"/>
    <w:family w:val="auto"/>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68" w:type="dxa"/>
      <w:tblCellMar>
        <w:left w:w="0" w:type="dxa"/>
        <w:right w:w="0" w:type="dxa"/>
      </w:tblCellMar>
      <w:tblLook w:val="04A0" w:firstRow="1" w:lastRow="0" w:firstColumn="1" w:lastColumn="0" w:noHBand="0" w:noVBand="1"/>
    </w:tblPr>
    <w:tblGrid>
      <w:gridCol w:w="6658"/>
      <w:gridCol w:w="2410"/>
    </w:tblGrid>
    <w:tr w:rsidR="003651FD" w14:paraId="650E238D" w14:textId="77777777">
      <w:trPr>
        <w:trHeight w:val="680"/>
      </w:trPr>
      <w:tc>
        <w:tcPr>
          <w:tcW w:w="6657" w:type="dxa"/>
          <w:tcBorders>
            <w:top w:val="nil"/>
            <w:left w:val="nil"/>
            <w:bottom w:val="nil"/>
            <w:right w:val="nil"/>
          </w:tcBorders>
          <w:shd w:val="clear" w:color="auto" w:fill="auto"/>
          <w:vAlign w:val="center"/>
        </w:tcPr>
        <w:p w14:paraId="4A864BC6" w14:textId="795478A7" w:rsidR="003651FD" w:rsidRDefault="003651FD">
          <w:pPr>
            <w:pStyle w:val="Piedepgina"/>
            <w:spacing w:before="0" w:after="0" w:line="240" w:lineRule="auto"/>
            <w:jc w:val="left"/>
          </w:pPr>
          <w:r>
            <w:rPr>
              <w:noProof/>
              <w:lang w:eastAsia="es-ES_tradnl"/>
            </w:rPr>
            <w:drawing>
              <wp:inline distT="0" distB="0" distL="0" distR="0" wp14:anchorId="44667B68" wp14:editId="38A59954">
                <wp:extent cx="3352257" cy="321338"/>
                <wp:effectExtent l="0" t="0" r="635"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logo-ministerio-asuntos-economicos.png"/>
                        <pic:cNvPicPr/>
                      </pic:nvPicPr>
                      <pic:blipFill>
                        <a:blip r:embed="rId1">
                          <a:extLst>
                            <a:ext uri="{28A0092B-C50C-407E-A947-70E740481C1C}">
                              <a14:useLocalDpi xmlns:a14="http://schemas.microsoft.com/office/drawing/2010/main" val="0"/>
                            </a:ext>
                          </a:extLst>
                        </a:blip>
                        <a:stretch>
                          <a:fillRect/>
                        </a:stretch>
                      </pic:blipFill>
                      <pic:spPr>
                        <a:xfrm>
                          <a:off x="0" y="0"/>
                          <a:ext cx="3398027" cy="325725"/>
                        </a:xfrm>
                        <a:prstGeom prst="rect">
                          <a:avLst/>
                        </a:prstGeom>
                      </pic:spPr>
                    </pic:pic>
                  </a:graphicData>
                </a:graphic>
              </wp:inline>
            </w:drawing>
          </w:r>
        </w:p>
      </w:tc>
      <w:tc>
        <w:tcPr>
          <w:tcW w:w="2410" w:type="dxa"/>
          <w:tcBorders>
            <w:top w:val="nil"/>
            <w:left w:val="nil"/>
            <w:bottom w:val="nil"/>
            <w:right w:val="nil"/>
          </w:tcBorders>
          <w:shd w:val="clear" w:color="auto" w:fill="auto"/>
          <w:vAlign w:val="center"/>
        </w:tcPr>
        <w:sdt>
          <w:sdtPr>
            <w:id w:val="1175669039"/>
            <w:docPartObj>
              <w:docPartGallery w:val="Page Numbers (Bottom of Page)"/>
              <w:docPartUnique/>
            </w:docPartObj>
          </w:sdtPr>
          <w:sdtEndPr/>
          <w:sdtContent>
            <w:p w14:paraId="1D15B6AF" w14:textId="77777777" w:rsidR="003651FD" w:rsidRDefault="003651FD">
              <w:pPr>
                <w:pStyle w:val="Piedepgina"/>
                <w:spacing w:before="0" w:after="0" w:line="240" w:lineRule="auto"/>
                <w:jc w:val="right"/>
              </w:pPr>
              <w:r>
                <w:rPr>
                  <w:rStyle w:val="Nmerodepgina"/>
                  <w:b w:val="0"/>
                  <w:sz w:val="20"/>
                  <w:szCs w:val="20"/>
                </w:rPr>
                <w:fldChar w:fldCharType="begin"/>
              </w:r>
              <w:r>
                <w:rPr>
                  <w:rStyle w:val="Nmerodepgina"/>
                  <w:b w:val="0"/>
                  <w:sz w:val="20"/>
                  <w:szCs w:val="20"/>
                </w:rPr>
                <w:instrText>PAGE</w:instrText>
              </w:r>
              <w:r>
                <w:rPr>
                  <w:rStyle w:val="Nmerodepgina"/>
                  <w:b w:val="0"/>
                  <w:sz w:val="20"/>
                  <w:szCs w:val="20"/>
                </w:rPr>
                <w:fldChar w:fldCharType="separate"/>
              </w:r>
              <w:r>
                <w:rPr>
                  <w:rStyle w:val="Nmerodepgina"/>
                  <w:b w:val="0"/>
                  <w:noProof/>
                  <w:sz w:val="20"/>
                  <w:szCs w:val="20"/>
                </w:rPr>
                <w:t>35</w:t>
              </w:r>
              <w:r>
                <w:rPr>
                  <w:rStyle w:val="Nmerodepgina"/>
                  <w:b w:val="0"/>
                  <w:sz w:val="20"/>
                  <w:szCs w:val="20"/>
                </w:rPr>
                <w:fldChar w:fldCharType="end"/>
              </w:r>
            </w:p>
          </w:sdtContent>
        </w:sdt>
      </w:tc>
    </w:tr>
  </w:tbl>
  <w:p w14:paraId="6A76B91A" w14:textId="77777777" w:rsidR="003651FD" w:rsidRDefault="003651FD">
    <w:pPr>
      <w:spacing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217662"/>
      <w:docPartObj>
        <w:docPartGallery w:val="Page Numbers (Bottom of Page)"/>
        <w:docPartUnique/>
      </w:docPartObj>
    </w:sdtPr>
    <w:sdtEndPr/>
    <w:sdtContent>
      <w:p w14:paraId="36470D29" w14:textId="77777777" w:rsidR="003651FD" w:rsidRDefault="003651FD">
        <w:pPr>
          <w:pStyle w:val="Piedepgina"/>
        </w:pPr>
        <w:r>
          <w:rPr>
            <w:rStyle w:val="Nmerodepgina"/>
            <w:sz w:val="24"/>
          </w:rPr>
          <w:fldChar w:fldCharType="begin"/>
        </w:r>
        <w:r>
          <w:rPr>
            <w:rStyle w:val="Nmerodepgina"/>
            <w:sz w:val="24"/>
          </w:rPr>
          <w:instrText>PAGE</w:instrText>
        </w:r>
        <w:r>
          <w:rPr>
            <w:rStyle w:val="Nmerodepgina"/>
            <w:sz w:val="24"/>
          </w:rPr>
          <w:fldChar w:fldCharType="separate"/>
        </w:r>
        <w:r>
          <w:rPr>
            <w:rStyle w:val="Nmerodepgina"/>
            <w:noProof/>
            <w:sz w:val="24"/>
          </w:rPr>
          <w:t>0</w:t>
        </w:r>
        <w:r>
          <w:rPr>
            <w:rStyle w:val="Nmerodepgina"/>
            <w:sz w:val="24"/>
          </w:rPr>
          <w:fldChar w:fldCharType="end"/>
        </w:r>
      </w:p>
    </w:sdtContent>
  </w:sdt>
  <w:p w14:paraId="5ED0A8F9" w14:textId="77777777" w:rsidR="003651FD" w:rsidRDefault="003651FD">
    <w:pPr>
      <w:pStyle w:val="Piedepgina"/>
      <w:ind w:right="-426"/>
      <w:jc w:val="right"/>
      <w:rPr>
        <w:color w:val="7030A0"/>
      </w:rPr>
    </w:pPr>
    <w:r>
      <w:rPr>
        <w:color w:val="7030A0"/>
      </w:rPr>
      <w:t>Septiembre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44E3BB" w14:textId="77777777" w:rsidR="00F713DD" w:rsidRDefault="00F713DD">
      <w:pPr>
        <w:spacing w:before="0" w:after="0" w:line="240" w:lineRule="auto"/>
      </w:pPr>
      <w:r>
        <w:separator/>
      </w:r>
    </w:p>
    <w:p w14:paraId="22E14684" w14:textId="77777777" w:rsidR="00F713DD" w:rsidRDefault="00F713DD"/>
  </w:footnote>
  <w:footnote w:type="continuationSeparator" w:id="0">
    <w:p w14:paraId="37DC1A10" w14:textId="77777777" w:rsidR="00F713DD" w:rsidRDefault="00F713DD">
      <w:pPr>
        <w:spacing w:before="0" w:after="0" w:line="240" w:lineRule="auto"/>
      </w:pPr>
      <w:r>
        <w:continuationSeparator/>
      </w:r>
    </w:p>
    <w:p w14:paraId="11E0A178" w14:textId="77777777" w:rsidR="00F713DD" w:rsidRDefault="00F713D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DFA33C" w14:textId="77777777" w:rsidR="003651FD" w:rsidRPr="00433274" w:rsidRDefault="003651FD">
    <w:pPr>
      <w:pStyle w:val="Encabezado"/>
      <w:rPr>
        <w:sz w:val="10"/>
        <w:lang w:val="en-GB"/>
      </w:rPr>
    </w:pPr>
    <w:r>
      <w:rPr>
        <w:noProof/>
        <w:lang w:eastAsia="es-ES_tradnl"/>
      </w:rPr>
      <mc:AlternateContent>
        <mc:Choice Requires="wps">
          <w:drawing>
            <wp:anchor distT="0" distB="0" distL="114300" distR="112395" simplePos="0" relativeHeight="75" behindDoc="1" locked="0" layoutInCell="1" allowOverlap="1" wp14:anchorId="679E510A" wp14:editId="3F97EA83">
              <wp:simplePos x="0" y="0"/>
              <wp:positionH relativeFrom="column">
                <wp:posOffset>-1077595</wp:posOffset>
              </wp:positionH>
              <wp:positionV relativeFrom="page">
                <wp:posOffset>704215</wp:posOffset>
              </wp:positionV>
              <wp:extent cx="5257165" cy="6985"/>
              <wp:effectExtent l="0" t="0" r="6985" b="12700"/>
              <wp:wrapNone/>
              <wp:docPr id="6" name="Conector recto 59"/>
              <wp:cNvGraphicFramePr/>
              <a:graphic xmlns:a="http://schemas.openxmlformats.org/drawingml/2006/main">
                <a:graphicData uri="http://schemas.microsoft.com/office/word/2010/wordprocessingShape">
                  <wps:wsp>
                    <wps:cNvCnPr/>
                    <wps:spPr>
                      <a:xfrm flipH="1" flipV="1">
                        <a:off x="0" y="0"/>
                        <a:ext cx="5256360" cy="2520"/>
                      </a:xfrm>
                      <a:prstGeom prst="line">
                        <a:avLst/>
                      </a:prstGeom>
                      <a:ln/>
                    </wps:spPr>
                    <wps:style>
                      <a:lnRef idx="2">
                        <a:schemeClr val="accent2"/>
                      </a:lnRef>
                      <a:fillRef idx="0">
                        <a:schemeClr val="accent2"/>
                      </a:fillRef>
                      <a:effectRef idx="1">
                        <a:schemeClr val="accent2"/>
                      </a:effectRef>
                      <a:fontRef idx="minor"/>
                    </wps:style>
                    <wps:bodyPr/>
                  </wps:wsp>
                </a:graphicData>
              </a:graphic>
            </wp:anchor>
          </w:drawing>
        </mc:Choice>
        <mc:Fallback xmlns:mv="urn:schemas-microsoft-com:mac:vml" xmlns:mo="http://schemas.microsoft.com/office/mac/office/2008/main">
          <w:pict>
            <v:line id="shape_0" from="-84.9pt,55.45pt" to="328.95pt,55.6pt" ID="Conector recto 59" stroked="t" style="position:absolute;flip:xy;mso-position-vertical-relative:page" wp14:anchorId="3F3AC834">
              <v:stroke color="#ed7d31" weight="12600" joinstyle="miter" endcap="flat"/>
              <v:fill o:detectmouseclick="t" on="false"/>
            </v:line>
          </w:pict>
        </mc:Fallback>
      </mc:AlternateContent>
    </w:r>
    <w:r>
      <w:rPr>
        <w:noProof/>
        <w:lang w:eastAsia="es-ES_tradnl"/>
      </w:rPr>
      <w:drawing>
        <wp:anchor distT="0" distB="0" distL="114300" distR="118745" simplePos="0" relativeHeight="38" behindDoc="1" locked="0" layoutInCell="1" allowOverlap="1" wp14:anchorId="420C836C" wp14:editId="751AAC49">
          <wp:simplePos x="0" y="0"/>
          <wp:positionH relativeFrom="column">
            <wp:posOffset>5028565</wp:posOffset>
          </wp:positionH>
          <wp:positionV relativeFrom="paragraph">
            <wp:posOffset>17145</wp:posOffset>
          </wp:positionV>
          <wp:extent cx="1138555" cy="373380"/>
          <wp:effectExtent l="0" t="0" r="0" b="0"/>
          <wp:wrapNone/>
          <wp:docPr id="31"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30"/>
                  <pic:cNvPicPr>
                    <a:picLocks noChangeAspect="1" noChangeArrowheads="1"/>
                  </pic:cNvPicPr>
                </pic:nvPicPr>
                <pic:blipFill>
                  <a:blip r:embed="rId1"/>
                  <a:stretch>
                    <a:fillRect/>
                  </a:stretch>
                </pic:blipFill>
                <pic:spPr bwMode="auto">
                  <a:xfrm>
                    <a:off x="0" y="0"/>
                    <a:ext cx="1138555" cy="373380"/>
                  </a:xfrm>
                  <a:prstGeom prst="rect">
                    <a:avLst/>
                  </a:prstGeom>
                </pic:spPr>
              </pic:pic>
            </a:graphicData>
          </a:graphic>
        </wp:anchor>
      </w:drawing>
    </w:r>
    <w:r w:rsidRPr="00433274">
      <w:rPr>
        <w:lang w:val="en-GB"/>
      </w:rPr>
      <w:t xml:space="preserve"> </w:t>
    </w:r>
  </w:p>
  <w:p w14:paraId="0C860679" w14:textId="324DF2A1" w:rsidR="003651FD" w:rsidRPr="00806393" w:rsidRDefault="003651FD" w:rsidP="00095B1E">
    <w:pPr>
      <w:pStyle w:val="Encabezado"/>
      <w:rPr>
        <w:lang w:val="en-GB"/>
      </w:rPr>
    </w:pPr>
    <w:r w:rsidRPr="00806393">
      <w:rPr>
        <w:lang w:val="en-GB"/>
      </w:rPr>
      <w:t>Open data beyond the public s</w:t>
    </w:r>
    <w:r>
      <w:rPr>
        <w:lang w:val="en-GB"/>
      </w:rPr>
      <w:t>ector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5C5926"/>
    <w:multiLevelType w:val="multilevel"/>
    <w:tmpl w:val="83BC41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24350A9"/>
    <w:multiLevelType w:val="hybridMultilevel"/>
    <w:tmpl w:val="737833A2"/>
    <w:lvl w:ilvl="0" w:tplc="0C0A0003">
      <w:start w:val="1"/>
      <w:numFmt w:val="bullet"/>
      <w:lvlText w:val="o"/>
      <w:lvlJc w:val="left"/>
      <w:pPr>
        <w:ind w:left="1080" w:hanging="360"/>
      </w:pPr>
      <w:rPr>
        <w:rFonts w:ascii="Courier New" w:hAnsi="Courier New" w:cs="Courier New"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129E6C4D"/>
    <w:multiLevelType w:val="hybridMultilevel"/>
    <w:tmpl w:val="7EC26B9A"/>
    <w:lvl w:ilvl="0" w:tplc="A2681B10">
      <w:start w:val="27"/>
      <w:numFmt w:val="bullet"/>
      <w:lvlText w:val="•"/>
      <w:lvlJc w:val="left"/>
      <w:pPr>
        <w:ind w:left="720" w:hanging="360"/>
      </w:pPr>
      <w:rPr>
        <w:rFonts w:ascii="Myriad Pro" w:eastAsia="Calibri" w:hAnsi="Myriad Pro"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57C7A54"/>
    <w:multiLevelType w:val="multilevel"/>
    <w:tmpl w:val="722C7CEA"/>
    <w:lvl w:ilvl="0">
      <w:start w:val="1"/>
      <w:numFmt w:val="decimal"/>
      <w:lvlText w:val="%1. "/>
      <w:lvlJc w:val="left"/>
      <w:pPr>
        <w:ind w:left="432" w:hanging="432"/>
      </w:pPr>
      <w:rPr>
        <w:rFonts w:hint="default"/>
      </w:rPr>
    </w:lvl>
    <w:lvl w:ilvl="1">
      <w:start w:val="1"/>
      <w:numFmt w:val="decimal"/>
      <w:lvlText w:val="%1.%2 "/>
      <w:lvlJc w:val="left"/>
      <w:pPr>
        <w:ind w:left="576" w:hanging="576"/>
      </w:pPr>
      <w:rPr>
        <w:rFonts w:hint="default"/>
      </w:rPr>
    </w:lvl>
    <w:lvl w:ilvl="2">
      <w:start w:val="1"/>
      <w:numFmt w:val="decimal"/>
      <w:pStyle w:val="Ttulo3"/>
      <w:lvlText w:val="%1.%2.%3 "/>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4" w15:restartNumberingAfterBreak="0">
    <w:nsid w:val="17250D19"/>
    <w:multiLevelType w:val="hybridMultilevel"/>
    <w:tmpl w:val="45DC69F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B425926"/>
    <w:multiLevelType w:val="hybridMultilevel"/>
    <w:tmpl w:val="9D6826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CA63CE1"/>
    <w:multiLevelType w:val="hybridMultilevel"/>
    <w:tmpl w:val="87FC6AAA"/>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D7E34E8"/>
    <w:multiLevelType w:val="multilevel"/>
    <w:tmpl w:val="F1747E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F59418B"/>
    <w:multiLevelType w:val="hybridMultilevel"/>
    <w:tmpl w:val="8B0855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21EC16A3"/>
    <w:multiLevelType w:val="hybridMultilevel"/>
    <w:tmpl w:val="50FE82A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2E040225"/>
    <w:multiLevelType w:val="multilevel"/>
    <w:tmpl w:val="F732BF66"/>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2F8D61CF"/>
    <w:multiLevelType w:val="multilevel"/>
    <w:tmpl w:val="3BD27BD2"/>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A917AD6"/>
    <w:multiLevelType w:val="multilevel"/>
    <w:tmpl w:val="91BEB904"/>
    <w:lvl w:ilvl="0">
      <w:start w:val="1"/>
      <w:numFmt w:val="bullet"/>
      <w:lvlText w:val=""/>
      <w:lvlJc w:val="left"/>
      <w:pPr>
        <w:ind w:left="720" w:hanging="360"/>
      </w:pPr>
      <w:rPr>
        <w:rFonts w:ascii="Symbol" w:hAnsi="Symbol" w:hint="default"/>
        <w:color w:val="000000" w:themeColor="text1"/>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4498433E"/>
    <w:multiLevelType w:val="multilevel"/>
    <w:tmpl w:val="A55A15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D4F0EE4"/>
    <w:multiLevelType w:val="hybridMultilevel"/>
    <w:tmpl w:val="02189E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511C5EA3"/>
    <w:multiLevelType w:val="multilevel"/>
    <w:tmpl w:val="D3DC577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4034677"/>
    <w:multiLevelType w:val="multilevel"/>
    <w:tmpl w:val="2C5E9F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582D7AEF"/>
    <w:multiLevelType w:val="multilevel"/>
    <w:tmpl w:val="F0FED3C0"/>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3EC2D99"/>
    <w:multiLevelType w:val="hybridMultilevel"/>
    <w:tmpl w:val="40AC5238"/>
    <w:lvl w:ilvl="0" w:tplc="0C0A0003">
      <w:start w:val="1"/>
      <w:numFmt w:val="bullet"/>
      <w:lvlText w:val="o"/>
      <w:lvlJc w:val="left"/>
      <w:pPr>
        <w:ind w:left="1080" w:hanging="360"/>
      </w:pPr>
      <w:rPr>
        <w:rFonts w:ascii="Courier New" w:hAnsi="Courier New" w:cs="Courier New" w:hint="default"/>
      </w:rPr>
    </w:lvl>
    <w:lvl w:ilvl="1" w:tplc="0C0A0003">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9" w15:restartNumberingAfterBreak="0">
    <w:nsid w:val="67D05C11"/>
    <w:multiLevelType w:val="hybridMultilevel"/>
    <w:tmpl w:val="7C7400A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7302688C"/>
    <w:multiLevelType w:val="multilevel"/>
    <w:tmpl w:val="3904B8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76DC1FD0"/>
    <w:multiLevelType w:val="multilevel"/>
    <w:tmpl w:val="3E9651B0"/>
    <w:lvl w:ilvl="0">
      <w:start w:val="1"/>
      <w:numFmt w:val="decimal"/>
      <w:lvlText w:val="%1"/>
      <w:lvlJc w:val="left"/>
      <w:pPr>
        <w:ind w:left="576" w:hanging="576"/>
      </w:pPr>
    </w:lvl>
    <w:lvl w:ilvl="1">
      <w:start w:val="1"/>
      <w:numFmt w:val="decimal"/>
      <w:lvlText w:val="%1.%2"/>
      <w:lvlJc w:val="left"/>
      <w:pPr>
        <w:ind w:left="576" w:hanging="576"/>
      </w:pPr>
    </w:lvl>
    <w:lvl w:ilvl="2">
      <w:start w:val="4"/>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2" w15:restartNumberingAfterBreak="0">
    <w:nsid w:val="7B0B2F6A"/>
    <w:multiLevelType w:val="hybridMultilevel"/>
    <w:tmpl w:val="B790A50E"/>
    <w:lvl w:ilvl="0" w:tplc="0C0A0003">
      <w:start w:val="1"/>
      <w:numFmt w:val="bullet"/>
      <w:lvlText w:val="o"/>
      <w:lvlJc w:val="left"/>
      <w:pPr>
        <w:ind w:left="720" w:hanging="360"/>
      </w:pPr>
      <w:rPr>
        <w:rFonts w:ascii="Courier New" w:hAnsi="Courier New" w:cs="Courier New"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16"/>
  </w:num>
  <w:num w:numId="4">
    <w:abstractNumId w:val="13"/>
  </w:num>
  <w:num w:numId="5">
    <w:abstractNumId w:val="17"/>
  </w:num>
  <w:num w:numId="6">
    <w:abstractNumId w:val="20"/>
  </w:num>
  <w:num w:numId="7">
    <w:abstractNumId w:val="0"/>
  </w:num>
  <w:num w:numId="8">
    <w:abstractNumId w:val="10"/>
  </w:num>
  <w:num w:numId="9">
    <w:abstractNumId w:val="11"/>
  </w:num>
  <w:num w:numId="10">
    <w:abstractNumId w:val="21"/>
  </w:num>
  <w:num w:numId="11">
    <w:abstractNumId w:val="7"/>
  </w:num>
  <w:num w:numId="12">
    <w:abstractNumId w:val="15"/>
  </w:num>
  <w:num w:numId="13">
    <w:abstractNumId w:val="14"/>
  </w:num>
  <w:num w:numId="14">
    <w:abstractNumId w:val="4"/>
  </w:num>
  <w:num w:numId="15">
    <w:abstractNumId w:val="22"/>
  </w:num>
  <w:num w:numId="16">
    <w:abstractNumId w:val="3"/>
  </w:num>
  <w:num w:numId="17">
    <w:abstractNumId w:val="19"/>
  </w:num>
  <w:num w:numId="18">
    <w:abstractNumId w:val="8"/>
  </w:num>
  <w:num w:numId="19">
    <w:abstractNumId w:val="1"/>
  </w:num>
  <w:num w:numId="20">
    <w:abstractNumId w:val="18"/>
  </w:num>
  <w:num w:numId="21">
    <w:abstractNumId w:val="6"/>
  </w:num>
  <w:num w:numId="22">
    <w:abstractNumId w:val="5"/>
  </w:num>
  <w:num w:numId="23">
    <w:abstractNumId w:val="2"/>
  </w:num>
  <w:num w:numId="24">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325"/>
    <w:rsid w:val="000013DE"/>
    <w:rsid w:val="0002300F"/>
    <w:rsid w:val="00034FA7"/>
    <w:rsid w:val="00053AB0"/>
    <w:rsid w:val="00061305"/>
    <w:rsid w:val="0007461C"/>
    <w:rsid w:val="00076518"/>
    <w:rsid w:val="000917CA"/>
    <w:rsid w:val="00095B1E"/>
    <w:rsid w:val="000B22D8"/>
    <w:rsid w:val="000C0476"/>
    <w:rsid w:val="000C2528"/>
    <w:rsid w:val="000C3EBB"/>
    <w:rsid w:val="000E00C3"/>
    <w:rsid w:val="000E7988"/>
    <w:rsid w:val="000F1B12"/>
    <w:rsid w:val="00114755"/>
    <w:rsid w:val="00122728"/>
    <w:rsid w:val="0012559D"/>
    <w:rsid w:val="00131A70"/>
    <w:rsid w:val="001507C5"/>
    <w:rsid w:val="00192D16"/>
    <w:rsid w:val="0019616E"/>
    <w:rsid w:val="001D100B"/>
    <w:rsid w:val="00203865"/>
    <w:rsid w:val="00205D77"/>
    <w:rsid w:val="00212BC4"/>
    <w:rsid w:val="00241B46"/>
    <w:rsid w:val="002513E5"/>
    <w:rsid w:val="00263113"/>
    <w:rsid w:val="002951E4"/>
    <w:rsid w:val="002A13DE"/>
    <w:rsid w:val="002B1C5A"/>
    <w:rsid w:val="002C216F"/>
    <w:rsid w:val="002C41C6"/>
    <w:rsid w:val="002D4F19"/>
    <w:rsid w:val="002E021F"/>
    <w:rsid w:val="002F14F4"/>
    <w:rsid w:val="003003F4"/>
    <w:rsid w:val="003021E2"/>
    <w:rsid w:val="0032791B"/>
    <w:rsid w:val="00341C73"/>
    <w:rsid w:val="0034372C"/>
    <w:rsid w:val="003501E4"/>
    <w:rsid w:val="003651FD"/>
    <w:rsid w:val="003670D8"/>
    <w:rsid w:val="00374387"/>
    <w:rsid w:val="00390A4F"/>
    <w:rsid w:val="003A2789"/>
    <w:rsid w:val="003A30BF"/>
    <w:rsid w:val="003B34E4"/>
    <w:rsid w:val="004051CD"/>
    <w:rsid w:val="004162A0"/>
    <w:rsid w:val="0041738E"/>
    <w:rsid w:val="00431CEF"/>
    <w:rsid w:val="00432A7E"/>
    <w:rsid w:val="00433274"/>
    <w:rsid w:val="004434BA"/>
    <w:rsid w:val="00447F13"/>
    <w:rsid w:val="00463799"/>
    <w:rsid w:val="00464907"/>
    <w:rsid w:val="004856FE"/>
    <w:rsid w:val="004A49F6"/>
    <w:rsid w:val="004C0D50"/>
    <w:rsid w:val="004C1E83"/>
    <w:rsid w:val="004C3B23"/>
    <w:rsid w:val="004C3EE3"/>
    <w:rsid w:val="004F4F68"/>
    <w:rsid w:val="00522092"/>
    <w:rsid w:val="00526D83"/>
    <w:rsid w:val="00533369"/>
    <w:rsid w:val="00535CCC"/>
    <w:rsid w:val="00547A12"/>
    <w:rsid w:val="0056527A"/>
    <w:rsid w:val="005742EC"/>
    <w:rsid w:val="005A4111"/>
    <w:rsid w:val="005C1D54"/>
    <w:rsid w:val="005C5E71"/>
    <w:rsid w:val="005D0A05"/>
    <w:rsid w:val="005E2CE1"/>
    <w:rsid w:val="005F5F2F"/>
    <w:rsid w:val="00600FA3"/>
    <w:rsid w:val="006274D6"/>
    <w:rsid w:val="0066123E"/>
    <w:rsid w:val="00683271"/>
    <w:rsid w:val="006B2E86"/>
    <w:rsid w:val="006B53E4"/>
    <w:rsid w:val="006C2876"/>
    <w:rsid w:val="006D5FFA"/>
    <w:rsid w:val="006E281F"/>
    <w:rsid w:val="00711A11"/>
    <w:rsid w:val="007244A5"/>
    <w:rsid w:val="00731FC7"/>
    <w:rsid w:val="00735325"/>
    <w:rsid w:val="0076744C"/>
    <w:rsid w:val="00770B63"/>
    <w:rsid w:val="00785177"/>
    <w:rsid w:val="007B2A4D"/>
    <w:rsid w:val="007B328B"/>
    <w:rsid w:val="007B3760"/>
    <w:rsid w:val="007B3B65"/>
    <w:rsid w:val="007C2BCB"/>
    <w:rsid w:val="007D20E8"/>
    <w:rsid w:val="007D2D51"/>
    <w:rsid w:val="007D3DD6"/>
    <w:rsid w:val="007E36F6"/>
    <w:rsid w:val="007F1368"/>
    <w:rsid w:val="007F7A24"/>
    <w:rsid w:val="00806393"/>
    <w:rsid w:val="00812254"/>
    <w:rsid w:val="00831FE6"/>
    <w:rsid w:val="00857993"/>
    <w:rsid w:val="008679F1"/>
    <w:rsid w:val="008A2349"/>
    <w:rsid w:val="008B1EF8"/>
    <w:rsid w:val="008C425D"/>
    <w:rsid w:val="008E157A"/>
    <w:rsid w:val="008E346C"/>
    <w:rsid w:val="008F7DF4"/>
    <w:rsid w:val="0091427A"/>
    <w:rsid w:val="00921DF2"/>
    <w:rsid w:val="00925FEE"/>
    <w:rsid w:val="00940A75"/>
    <w:rsid w:val="00945986"/>
    <w:rsid w:val="0095582D"/>
    <w:rsid w:val="009617D1"/>
    <w:rsid w:val="0096445B"/>
    <w:rsid w:val="00977596"/>
    <w:rsid w:val="009C5988"/>
    <w:rsid w:val="009D3471"/>
    <w:rsid w:val="009E120D"/>
    <w:rsid w:val="009E5C7C"/>
    <w:rsid w:val="009E791B"/>
    <w:rsid w:val="009F0D6A"/>
    <w:rsid w:val="009F48E3"/>
    <w:rsid w:val="00A145F3"/>
    <w:rsid w:val="00A249EB"/>
    <w:rsid w:val="00A34272"/>
    <w:rsid w:val="00A4096A"/>
    <w:rsid w:val="00A64798"/>
    <w:rsid w:val="00AB01C6"/>
    <w:rsid w:val="00AC6311"/>
    <w:rsid w:val="00AC7D1B"/>
    <w:rsid w:val="00AD262C"/>
    <w:rsid w:val="00AE4A43"/>
    <w:rsid w:val="00B04AA9"/>
    <w:rsid w:val="00B15343"/>
    <w:rsid w:val="00B72ACF"/>
    <w:rsid w:val="00B7528C"/>
    <w:rsid w:val="00B94A3D"/>
    <w:rsid w:val="00BB5F2A"/>
    <w:rsid w:val="00BD06AF"/>
    <w:rsid w:val="00BD7C7F"/>
    <w:rsid w:val="00BF4DFD"/>
    <w:rsid w:val="00BF6052"/>
    <w:rsid w:val="00C2606A"/>
    <w:rsid w:val="00C3419E"/>
    <w:rsid w:val="00C50BD1"/>
    <w:rsid w:val="00C60974"/>
    <w:rsid w:val="00C73F87"/>
    <w:rsid w:val="00C91F86"/>
    <w:rsid w:val="00C93D0D"/>
    <w:rsid w:val="00CB3FC4"/>
    <w:rsid w:val="00CD3CA1"/>
    <w:rsid w:val="00CF1136"/>
    <w:rsid w:val="00D0433F"/>
    <w:rsid w:val="00D10293"/>
    <w:rsid w:val="00D12687"/>
    <w:rsid w:val="00D12A5D"/>
    <w:rsid w:val="00D21BC0"/>
    <w:rsid w:val="00D3671D"/>
    <w:rsid w:val="00D436BF"/>
    <w:rsid w:val="00D536BD"/>
    <w:rsid w:val="00D5466B"/>
    <w:rsid w:val="00D64F9E"/>
    <w:rsid w:val="00D72FD2"/>
    <w:rsid w:val="00D927CF"/>
    <w:rsid w:val="00DA6468"/>
    <w:rsid w:val="00DB158B"/>
    <w:rsid w:val="00DE44EE"/>
    <w:rsid w:val="00E20877"/>
    <w:rsid w:val="00E35969"/>
    <w:rsid w:val="00E47707"/>
    <w:rsid w:val="00E70ED1"/>
    <w:rsid w:val="00E847FA"/>
    <w:rsid w:val="00E9568F"/>
    <w:rsid w:val="00EB2B4B"/>
    <w:rsid w:val="00EB2C81"/>
    <w:rsid w:val="00EC69FD"/>
    <w:rsid w:val="00EF2242"/>
    <w:rsid w:val="00F0095E"/>
    <w:rsid w:val="00F03478"/>
    <w:rsid w:val="00F04B5D"/>
    <w:rsid w:val="00F14F1F"/>
    <w:rsid w:val="00F4597C"/>
    <w:rsid w:val="00F713DD"/>
    <w:rsid w:val="00F76D09"/>
    <w:rsid w:val="00F84120"/>
    <w:rsid w:val="00F87330"/>
    <w:rsid w:val="00FA3084"/>
    <w:rsid w:val="00FE7412"/>
    <w:rsid w:val="00FF375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BD12CA"/>
  <w15:docId w15:val="{D0FD2286-22B3-491F-9F70-4F1210895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Cs w:val="24"/>
        <w:lang w:val="es-ES_trad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34D2"/>
    <w:pPr>
      <w:spacing w:before="240" w:after="240" w:line="360" w:lineRule="auto"/>
      <w:jc w:val="both"/>
    </w:pPr>
    <w:rPr>
      <w:rFonts w:ascii="Myriad Pro" w:eastAsia="Calibri" w:hAnsi="Myriad Pro"/>
      <w:color w:val="000000" w:themeColor="text1"/>
      <w:sz w:val="24"/>
    </w:rPr>
  </w:style>
  <w:style w:type="paragraph" w:styleId="Ttulo1">
    <w:name w:val="heading 1"/>
    <w:basedOn w:val="Normal"/>
    <w:next w:val="Normal"/>
    <w:link w:val="Ttulo1Car"/>
    <w:autoRedefine/>
    <w:uiPriority w:val="9"/>
    <w:qFormat/>
    <w:rsid w:val="00EC69FD"/>
    <w:pPr>
      <w:keepNext/>
      <w:keepLines/>
      <w:pageBreakBefore/>
      <w:spacing w:after="360" w:line="240" w:lineRule="auto"/>
      <w:ind w:left="432"/>
      <w:jc w:val="left"/>
      <w:outlineLvl w:val="0"/>
    </w:pPr>
    <w:rPr>
      <w:rFonts w:eastAsiaTheme="majorEastAsia" w:cs="Times New Roman (Títulos en alf"/>
      <w:b/>
      <w:bCs/>
      <w:smallCaps/>
      <w:color w:val="7030A0"/>
      <w:sz w:val="52"/>
      <w:szCs w:val="52"/>
    </w:rPr>
  </w:style>
  <w:style w:type="paragraph" w:styleId="Ttulo2">
    <w:name w:val="heading 2"/>
    <w:basedOn w:val="Ttulo1"/>
    <w:next w:val="Normal"/>
    <w:link w:val="Ttulo2Car"/>
    <w:autoRedefine/>
    <w:uiPriority w:val="9"/>
    <w:unhideWhenUsed/>
    <w:qFormat/>
    <w:rsid w:val="002513E5"/>
    <w:pPr>
      <w:pageBreakBefore w:val="0"/>
      <w:numPr>
        <w:ilvl w:val="1"/>
      </w:numPr>
      <w:suppressAutoHyphens/>
      <w:ind w:left="432"/>
      <w:jc w:val="both"/>
      <w:outlineLvl w:val="1"/>
    </w:pPr>
    <w:rPr>
      <w:bCs w:val="0"/>
      <w:smallCaps w:val="0"/>
      <w:sz w:val="44"/>
      <w:szCs w:val="26"/>
      <w:lang w:val="es-ES"/>
    </w:rPr>
  </w:style>
  <w:style w:type="paragraph" w:styleId="Ttulo3">
    <w:name w:val="heading 3"/>
    <w:basedOn w:val="Normal"/>
    <w:next w:val="Normal"/>
    <w:link w:val="Ttulo3Car"/>
    <w:autoRedefine/>
    <w:uiPriority w:val="9"/>
    <w:unhideWhenUsed/>
    <w:qFormat/>
    <w:rsid w:val="002513E5"/>
    <w:pPr>
      <w:keepNext/>
      <w:keepLines/>
      <w:numPr>
        <w:ilvl w:val="2"/>
        <w:numId w:val="1"/>
      </w:numPr>
      <w:spacing w:before="0" w:after="360" w:line="240" w:lineRule="auto"/>
      <w:jc w:val="left"/>
      <w:outlineLvl w:val="2"/>
    </w:pPr>
    <w:rPr>
      <w:rFonts w:eastAsiaTheme="majorEastAsia" w:cs="Times New Roman (Títulos en alf"/>
      <w:b/>
      <w:color w:val="262626" w:themeColor="text1" w:themeTint="D9"/>
      <w:sz w:val="32"/>
    </w:rPr>
  </w:style>
  <w:style w:type="paragraph" w:styleId="Ttulo4">
    <w:name w:val="heading 4"/>
    <w:basedOn w:val="Normal"/>
    <w:next w:val="Normal"/>
    <w:link w:val="Ttulo4Car"/>
    <w:autoRedefine/>
    <w:uiPriority w:val="9"/>
    <w:unhideWhenUsed/>
    <w:qFormat/>
    <w:rsid w:val="002513E5"/>
    <w:pPr>
      <w:numPr>
        <w:ilvl w:val="3"/>
        <w:numId w:val="1"/>
      </w:numPr>
      <w:shd w:val="clear" w:color="auto" w:fill="FFFFFF" w:themeFill="background1"/>
      <w:outlineLvl w:val="3"/>
    </w:pPr>
    <w:rPr>
      <w:b/>
      <w:color w:val="7030A0"/>
      <w:sz w:val="28"/>
      <w:szCs w:val="28"/>
    </w:rPr>
  </w:style>
  <w:style w:type="paragraph" w:styleId="Ttulo5">
    <w:name w:val="heading 5"/>
    <w:basedOn w:val="Normal"/>
    <w:next w:val="Normal"/>
    <w:link w:val="Ttulo5Car"/>
    <w:uiPriority w:val="9"/>
    <w:semiHidden/>
    <w:unhideWhenUsed/>
    <w:qFormat/>
    <w:rsid w:val="002513E5"/>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semiHidden/>
    <w:unhideWhenUsed/>
    <w:qFormat/>
    <w:rsid w:val="002513E5"/>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2513E5"/>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2513E5"/>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2513E5"/>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HTMLconformatoprevioCar">
    <w:name w:val="HTML con formato previo Car"/>
    <w:basedOn w:val="Fuentedeprrafopredeter"/>
    <w:link w:val="HTMLconformatoprevio"/>
    <w:uiPriority w:val="99"/>
    <w:qFormat/>
    <w:rsid w:val="00275813"/>
    <w:rPr>
      <w:rFonts w:ascii="Courier New" w:eastAsia="Times New Roman" w:hAnsi="Courier New" w:cs="Courier New"/>
      <w:sz w:val="20"/>
      <w:szCs w:val="20"/>
      <w:lang w:val="es-ES" w:eastAsia="es-ES"/>
    </w:rPr>
  </w:style>
  <w:style w:type="character" w:customStyle="1" w:styleId="EncabezadoCar">
    <w:name w:val="Encabezado Car"/>
    <w:basedOn w:val="Fuentedeprrafopredeter"/>
    <w:link w:val="Encabezado"/>
    <w:uiPriority w:val="99"/>
    <w:qFormat/>
    <w:rsid w:val="00AC0432"/>
    <w:rPr>
      <w:rFonts w:ascii="Myriad Pro" w:eastAsia="Calibri" w:hAnsi="Myriad Pro" w:cs="Times New Roman (Cuerpo en alfa"/>
      <w:b/>
      <w:color w:val="808080" w:themeColor="background1" w:themeShade="80"/>
      <w:szCs w:val="20"/>
    </w:rPr>
  </w:style>
  <w:style w:type="character" w:customStyle="1" w:styleId="PiedepginaCar">
    <w:name w:val="Pie de página Car"/>
    <w:basedOn w:val="Fuentedeprrafopredeter"/>
    <w:link w:val="Piedepgina"/>
    <w:uiPriority w:val="99"/>
    <w:qFormat/>
    <w:rsid w:val="005157E9"/>
  </w:style>
  <w:style w:type="character" w:styleId="Nmerodepgina">
    <w:name w:val="page number"/>
    <w:basedOn w:val="Fuentedeprrafopredeter"/>
    <w:uiPriority w:val="99"/>
    <w:semiHidden/>
    <w:unhideWhenUsed/>
    <w:qFormat/>
    <w:rsid w:val="007D2D51"/>
    <w:rPr>
      <w:rFonts w:ascii="Neutra Text" w:hAnsi="Neutra Text"/>
      <w:b/>
      <w:i w:val="0"/>
      <w:color w:val="000000" w:themeColor="text1"/>
      <w:sz w:val="28"/>
    </w:rPr>
  </w:style>
  <w:style w:type="character" w:customStyle="1" w:styleId="Ttulo2Car">
    <w:name w:val="Título 2 Car"/>
    <w:basedOn w:val="Fuentedeprrafopredeter"/>
    <w:link w:val="Ttulo2"/>
    <w:uiPriority w:val="9"/>
    <w:qFormat/>
    <w:rsid w:val="007B2A4D"/>
    <w:rPr>
      <w:rFonts w:ascii="Myriad Pro" w:eastAsiaTheme="majorEastAsia" w:hAnsi="Myriad Pro" w:cs="Times New Roman (Títulos en alf"/>
      <w:b/>
      <w:color w:val="7030A0"/>
      <w:sz w:val="44"/>
      <w:szCs w:val="26"/>
      <w:lang w:val="es-ES"/>
    </w:rPr>
  </w:style>
  <w:style w:type="character" w:customStyle="1" w:styleId="Ttulo1Car">
    <w:name w:val="Título 1 Car"/>
    <w:basedOn w:val="Fuentedeprrafopredeter"/>
    <w:link w:val="Ttulo1"/>
    <w:uiPriority w:val="9"/>
    <w:qFormat/>
    <w:rsid w:val="00EC69FD"/>
    <w:rPr>
      <w:rFonts w:ascii="Myriad Pro" w:eastAsiaTheme="majorEastAsia" w:hAnsi="Myriad Pro" w:cs="Times New Roman (Títulos en alf"/>
      <w:b/>
      <w:bCs/>
      <w:smallCaps/>
      <w:color w:val="7030A0"/>
      <w:sz w:val="52"/>
      <w:szCs w:val="52"/>
    </w:rPr>
  </w:style>
  <w:style w:type="character" w:customStyle="1" w:styleId="TextodegloboCar">
    <w:name w:val="Texto de globo Car"/>
    <w:basedOn w:val="Fuentedeprrafopredeter"/>
    <w:link w:val="Textodeglobo"/>
    <w:uiPriority w:val="99"/>
    <w:semiHidden/>
    <w:qFormat/>
    <w:rsid w:val="00FD162B"/>
    <w:rPr>
      <w:rFonts w:ascii="Lucida Grande" w:hAnsi="Lucida Grande" w:cs="Lucida Grande"/>
      <w:sz w:val="18"/>
      <w:szCs w:val="18"/>
    </w:rPr>
  </w:style>
  <w:style w:type="character" w:customStyle="1" w:styleId="SinespaciadoCar">
    <w:name w:val="Sin espaciado Car"/>
    <w:basedOn w:val="Fuentedeprrafopredeter"/>
    <w:link w:val="Sinespaciado"/>
    <w:uiPriority w:val="1"/>
    <w:qFormat/>
    <w:rsid w:val="005A7410"/>
    <w:rPr>
      <w:rFonts w:eastAsiaTheme="minorEastAsia"/>
      <w:sz w:val="22"/>
      <w:szCs w:val="22"/>
      <w:lang w:val="en-US" w:eastAsia="zh-CN"/>
    </w:rPr>
  </w:style>
  <w:style w:type="character" w:customStyle="1" w:styleId="Ttulo3Car">
    <w:name w:val="Título 3 Car"/>
    <w:basedOn w:val="Fuentedeprrafopredeter"/>
    <w:link w:val="Ttulo3"/>
    <w:uiPriority w:val="9"/>
    <w:qFormat/>
    <w:rsid w:val="009442BA"/>
    <w:rPr>
      <w:rFonts w:ascii="Myriad Pro" w:eastAsiaTheme="majorEastAsia" w:hAnsi="Myriad Pro" w:cs="Times New Roman (Títulos en alf"/>
      <w:b/>
      <w:color w:val="262626" w:themeColor="text1" w:themeTint="D9"/>
      <w:sz w:val="32"/>
    </w:rPr>
  </w:style>
  <w:style w:type="character" w:customStyle="1" w:styleId="Ttulo4Car">
    <w:name w:val="Título 4 Car"/>
    <w:basedOn w:val="Fuentedeprrafopredeter"/>
    <w:link w:val="Ttulo4"/>
    <w:uiPriority w:val="9"/>
    <w:qFormat/>
    <w:rsid w:val="00C50BD1"/>
    <w:rPr>
      <w:rFonts w:ascii="Myriad Pro" w:eastAsia="Calibri" w:hAnsi="Myriad Pro"/>
      <w:b/>
      <w:color w:val="7030A0"/>
      <w:sz w:val="28"/>
      <w:szCs w:val="28"/>
      <w:shd w:val="clear" w:color="auto" w:fill="FFFFFF" w:themeFill="background1"/>
    </w:rPr>
  </w:style>
  <w:style w:type="character" w:customStyle="1" w:styleId="EnlacedeInternet">
    <w:name w:val="Enlace de Internet"/>
    <w:basedOn w:val="Fuentedeprrafopredeter"/>
    <w:uiPriority w:val="99"/>
    <w:unhideWhenUsed/>
    <w:qFormat/>
    <w:rsid w:val="003839CE"/>
    <w:rPr>
      <w:color w:val="0563C1" w:themeColor="hyperlink"/>
      <w:u w:val="single"/>
    </w:rPr>
  </w:style>
  <w:style w:type="character" w:customStyle="1" w:styleId="Mencinsinresolver1">
    <w:name w:val="Mención sin resolver1"/>
    <w:basedOn w:val="Fuentedeprrafopredeter"/>
    <w:uiPriority w:val="99"/>
    <w:semiHidden/>
    <w:unhideWhenUsed/>
    <w:qFormat/>
    <w:rsid w:val="00120C4B"/>
    <w:rPr>
      <w:color w:val="605E5C"/>
      <w:shd w:val="clear" w:color="auto" w:fill="E1DFDD"/>
    </w:rPr>
  </w:style>
  <w:style w:type="character" w:customStyle="1" w:styleId="Ttulo5Car">
    <w:name w:val="Título 5 Car"/>
    <w:basedOn w:val="Fuentedeprrafopredeter"/>
    <w:link w:val="Ttulo5"/>
    <w:uiPriority w:val="9"/>
    <w:semiHidden/>
    <w:qFormat/>
    <w:rsid w:val="004E144D"/>
    <w:rPr>
      <w:rFonts w:asciiTheme="majorHAnsi" w:eastAsiaTheme="majorEastAsia" w:hAnsiTheme="majorHAnsi" w:cstheme="majorBidi"/>
      <w:color w:val="2E74B5" w:themeColor="accent1" w:themeShade="BF"/>
      <w:sz w:val="24"/>
    </w:rPr>
  </w:style>
  <w:style w:type="character" w:customStyle="1" w:styleId="Ttulo6Car">
    <w:name w:val="Título 6 Car"/>
    <w:basedOn w:val="Fuentedeprrafopredeter"/>
    <w:link w:val="Ttulo6"/>
    <w:uiPriority w:val="9"/>
    <w:semiHidden/>
    <w:qFormat/>
    <w:rsid w:val="004E144D"/>
    <w:rPr>
      <w:rFonts w:asciiTheme="majorHAnsi" w:eastAsiaTheme="majorEastAsia" w:hAnsiTheme="majorHAnsi" w:cstheme="majorBidi"/>
      <w:color w:val="1F4D78" w:themeColor="accent1" w:themeShade="7F"/>
      <w:sz w:val="24"/>
    </w:rPr>
  </w:style>
  <w:style w:type="character" w:customStyle="1" w:styleId="Ttulo7Car">
    <w:name w:val="Título 7 Car"/>
    <w:basedOn w:val="Fuentedeprrafopredeter"/>
    <w:link w:val="Ttulo7"/>
    <w:uiPriority w:val="9"/>
    <w:semiHidden/>
    <w:qFormat/>
    <w:rsid w:val="004E144D"/>
    <w:rPr>
      <w:rFonts w:asciiTheme="majorHAnsi" w:eastAsiaTheme="majorEastAsia" w:hAnsiTheme="majorHAnsi" w:cstheme="majorBidi"/>
      <w:i/>
      <w:iCs/>
      <w:color w:val="1F4D78" w:themeColor="accent1" w:themeShade="7F"/>
      <w:sz w:val="24"/>
    </w:rPr>
  </w:style>
  <w:style w:type="character" w:customStyle="1" w:styleId="Ttulo8Car">
    <w:name w:val="Título 8 Car"/>
    <w:basedOn w:val="Fuentedeprrafopredeter"/>
    <w:link w:val="Ttulo8"/>
    <w:uiPriority w:val="9"/>
    <w:semiHidden/>
    <w:qFormat/>
    <w:rsid w:val="004E144D"/>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qFormat/>
    <w:rsid w:val="004E144D"/>
    <w:rPr>
      <w:rFonts w:asciiTheme="majorHAnsi" w:eastAsiaTheme="majorEastAsia" w:hAnsiTheme="majorHAnsi" w:cstheme="majorBidi"/>
      <w:i/>
      <w:iCs/>
      <w:color w:val="272727" w:themeColor="text1" w:themeTint="D8"/>
      <w:sz w:val="21"/>
      <w:szCs w:val="21"/>
    </w:rPr>
  </w:style>
  <w:style w:type="character" w:styleId="Hipervnculovisitado">
    <w:name w:val="FollowedHyperlink"/>
    <w:basedOn w:val="EnlacedeInternet"/>
    <w:uiPriority w:val="99"/>
    <w:unhideWhenUsed/>
    <w:qFormat/>
    <w:rsid w:val="00135C72"/>
    <w:rPr>
      <w:rFonts w:ascii="Myriad Pro" w:hAnsi="Myriad Pro"/>
      <w:b w:val="0"/>
      <w:color w:val="7030A0"/>
      <w:sz w:val="24"/>
      <w:u w:val="single"/>
    </w:rPr>
  </w:style>
  <w:style w:type="character" w:customStyle="1" w:styleId="Caracteresdenotaalpie">
    <w:name w:val="Caracteres de nota al pie"/>
    <w:qFormat/>
    <w:rsid w:val="00D31A65"/>
  </w:style>
  <w:style w:type="character" w:customStyle="1" w:styleId="TextonotapieCar">
    <w:name w:val="Texto nota pie Car"/>
    <w:basedOn w:val="Fuentedeprrafopredeter"/>
    <w:link w:val="Textonotapie"/>
    <w:qFormat/>
    <w:rsid w:val="00D31A65"/>
    <w:rPr>
      <w:rFonts w:ascii="Liberation Serif" w:eastAsia="Liberation Serif" w:hAnsi="Liberation Serif" w:cs="Liberation Serif"/>
      <w:color w:val="00000A"/>
      <w:shd w:val="clear" w:color="auto" w:fill="FFFFFF"/>
      <w:lang w:val="es-ES" w:eastAsia="es-ES"/>
    </w:rPr>
  </w:style>
  <w:style w:type="character" w:styleId="Refdecomentario">
    <w:name w:val="annotation reference"/>
    <w:basedOn w:val="Fuentedeprrafopredeter"/>
    <w:uiPriority w:val="99"/>
    <w:semiHidden/>
    <w:unhideWhenUsed/>
    <w:qFormat/>
    <w:rsid w:val="008375CA"/>
    <w:rPr>
      <w:sz w:val="16"/>
      <w:szCs w:val="16"/>
    </w:rPr>
  </w:style>
  <w:style w:type="character" w:customStyle="1" w:styleId="TextocomentarioCar">
    <w:name w:val="Texto comentario Car"/>
    <w:basedOn w:val="Fuentedeprrafopredeter"/>
    <w:link w:val="Textocomentario"/>
    <w:uiPriority w:val="99"/>
    <w:qFormat/>
    <w:rsid w:val="008375CA"/>
    <w:rPr>
      <w:rFonts w:ascii="Myriad Pro" w:hAnsi="Myriad Pro"/>
      <w:color w:val="000000" w:themeColor="text1"/>
      <w:sz w:val="20"/>
      <w:szCs w:val="20"/>
    </w:rPr>
  </w:style>
  <w:style w:type="character" w:customStyle="1" w:styleId="AsuntodelcomentarioCar">
    <w:name w:val="Asunto del comentario Car"/>
    <w:basedOn w:val="TextocomentarioCar"/>
    <w:link w:val="Asuntodelcomentario"/>
    <w:uiPriority w:val="99"/>
    <w:semiHidden/>
    <w:qFormat/>
    <w:rsid w:val="008375CA"/>
    <w:rPr>
      <w:rFonts w:ascii="Myriad Pro" w:hAnsi="Myriad Pro"/>
      <w:b/>
      <w:bCs/>
      <w:color w:val="000000" w:themeColor="text1"/>
      <w:sz w:val="20"/>
      <w:szCs w:val="20"/>
    </w:rPr>
  </w:style>
  <w:style w:type="character" w:customStyle="1" w:styleId="Ancladenotaalpie">
    <w:name w:val="Ancla de nota al pie"/>
    <w:rsid w:val="0042023C"/>
    <w:rPr>
      <w:vertAlign w:val="superscript"/>
    </w:rPr>
  </w:style>
  <w:style w:type="character" w:customStyle="1" w:styleId="Destacado">
    <w:name w:val="Destacado"/>
    <w:qFormat/>
    <w:rsid w:val="0042023C"/>
    <w:rPr>
      <w:i/>
      <w:iCs/>
    </w:rPr>
  </w:style>
  <w:style w:type="character" w:customStyle="1" w:styleId="Muydestacado">
    <w:name w:val="Muy destacado"/>
    <w:qFormat/>
    <w:rsid w:val="0042023C"/>
    <w:rPr>
      <w:b/>
      <w:bCs/>
    </w:rPr>
  </w:style>
  <w:style w:type="character" w:customStyle="1" w:styleId="TextoindependienteCar">
    <w:name w:val="Texto independiente Car"/>
    <w:basedOn w:val="Fuentedeprrafopredeter"/>
    <w:link w:val="Textoindependiente"/>
    <w:qFormat/>
    <w:rsid w:val="0042023C"/>
    <w:rPr>
      <w:rFonts w:ascii="Liberation Sans" w:eastAsia="Liberation Serif" w:hAnsi="Liberation Sans" w:cs="Liberation Serif"/>
      <w:sz w:val="22"/>
      <w:lang w:val="es-ES" w:eastAsia="es-ES"/>
    </w:rPr>
  </w:style>
  <w:style w:type="character" w:customStyle="1" w:styleId="ListLabel1">
    <w:name w:val="ListLabel 1"/>
    <w:qFormat/>
    <w:rPr>
      <w:b/>
      <w:i w:val="0"/>
    </w:rPr>
  </w:style>
  <w:style w:type="character" w:customStyle="1" w:styleId="ListLabel2">
    <w:name w:val="ListLabel 2"/>
    <w:qFormat/>
    <w:rPr>
      <w:b/>
      <w:i w:val="0"/>
    </w:rPr>
  </w:style>
  <w:style w:type="character" w:customStyle="1" w:styleId="ListLabel3">
    <w:name w:val="ListLabel 3"/>
    <w:qFormat/>
    <w:rPr>
      <w:b/>
      <w:i w:val="0"/>
    </w:rPr>
  </w:style>
  <w:style w:type="character" w:customStyle="1" w:styleId="ListLabel4">
    <w:name w:val="ListLabel 4"/>
    <w:qFormat/>
    <w:rPr>
      <w:b/>
      <w:i w:val="0"/>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b/>
      <w:i w:val="0"/>
    </w:rPr>
  </w:style>
  <w:style w:type="character" w:customStyle="1" w:styleId="ListLabel9">
    <w:name w:val="ListLabel 9"/>
    <w:qFormat/>
    <w:rPr>
      <w:b/>
      <w:i w:val="0"/>
    </w:rPr>
  </w:style>
  <w:style w:type="character" w:customStyle="1" w:styleId="ListLabel10">
    <w:name w:val="ListLabel 10"/>
    <w:qFormat/>
    <w:rPr>
      <w:b/>
      <w:i w:val="0"/>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Noto Sans Symbols"/>
    </w:rPr>
  </w:style>
  <w:style w:type="character" w:customStyle="1" w:styleId="ListLabel15">
    <w:name w:val="ListLabel 15"/>
    <w:qFormat/>
    <w:rPr>
      <w:rFonts w:cs="Noto Sans Symbols"/>
    </w:rPr>
  </w:style>
  <w:style w:type="character" w:customStyle="1" w:styleId="ListLabel16">
    <w:name w:val="ListLabel 16"/>
    <w:qFormat/>
    <w:rPr>
      <w:rFonts w:cs="Noto Sans Symbols"/>
    </w:rPr>
  </w:style>
  <w:style w:type="character" w:customStyle="1" w:styleId="ListLabel17">
    <w:name w:val="ListLabel 17"/>
    <w:qFormat/>
    <w:rPr>
      <w:rFonts w:cs="Noto Sans Symbols"/>
    </w:rPr>
  </w:style>
  <w:style w:type="character" w:customStyle="1" w:styleId="ListLabel18">
    <w:name w:val="ListLabel 18"/>
    <w:qFormat/>
    <w:rPr>
      <w:rFonts w:cs="Noto Sans Symbols"/>
    </w:rPr>
  </w:style>
  <w:style w:type="character" w:customStyle="1" w:styleId="ListLabel19">
    <w:name w:val="ListLabel 19"/>
    <w:qFormat/>
    <w:rPr>
      <w:rFonts w:cs="Noto Sans Symbols"/>
    </w:rPr>
  </w:style>
  <w:style w:type="character" w:customStyle="1" w:styleId="ListLabel20">
    <w:name w:val="ListLabel 20"/>
    <w:qFormat/>
    <w:rPr>
      <w:rFonts w:cs="Noto Sans Symbols"/>
    </w:rPr>
  </w:style>
  <w:style w:type="character" w:customStyle="1" w:styleId="ListLabel21">
    <w:name w:val="ListLabel 21"/>
    <w:qFormat/>
    <w:rPr>
      <w:rFonts w:cs="Noto Sans Symbols"/>
    </w:rPr>
  </w:style>
  <w:style w:type="character" w:customStyle="1" w:styleId="ListLabel22">
    <w:name w:val="ListLabel 22"/>
    <w:qFormat/>
    <w:rPr>
      <w:rFonts w:cs="Noto Sans Symbols"/>
    </w:rPr>
  </w:style>
  <w:style w:type="character" w:customStyle="1" w:styleId="ListLabel23">
    <w:name w:val="ListLabel 23"/>
    <w:qFormat/>
    <w:rPr>
      <w:rFonts w:cs="Noto Sans Symbols"/>
    </w:rPr>
  </w:style>
  <w:style w:type="character" w:customStyle="1" w:styleId="ListLabel24">
    <w:name w:val="ListLabel 24"/>
    <w:qFormat/>
    <w:rPr>
      <w:rFonts w:cs="Noto Sans Symbols"/>
    </w:rPr>
  </w:style>
  <w:style w:type="character" w:customStyle="1" w:styleId="ListLabel25">
    <w:name w:val="ListLabel 25"/>
    <w:qFormat/>
    <w:rPr>
      <w:rFonts w:cs="Noto Sans Symbols"/>
    </w:rPr>
  </w:style>
  <w:style w:type="character" w:customStyle="1" w:styleId="ListLabel26">
    <w:name w:val="ListLabel 26"/>
    <w:qFormat/>
    <w:rPr>
      <w:rFonts w:cs="Noto Sans Symbols"/>
    </w:rPr>
  </w:style>
  <w:style w:type="character" w:customStyle="1" w:styleId="ListLabel27">
    <w:name w:val="ListLabel 27"/>
    <w:qFormat/>
    <w:rPr>
      <w:rFonts w:cs="Noto Sans Symbols"/>
    </w:rPr>
  </w:style>
  <w:style w:type="character" w:customStyle="1" w:styleId="ListLabel28">
    <w:name w:val="ListLabel 28"/>
    <w:qFormat/>
    <w:rPr>
      <w:rFonts w:cs="Noto Sans Symbols"/>
    </w:rPr>
  </w:style>
  <w:style w:type="character" w:customStyle="1" w:styleId="ListLabel29">
    <w:name w:val="ListLabel 29"/>
    <w:qFormat/>
    <w:rPr>
      <w:rFonts w:cs="Noto Sans Symbols"/>
    </w:rPr>
  </w:style>
  <w:style w:type="character" w:customStyle="1" w:styleId="ListLabel30">
    <w:name w:val="ListLabel 30"/>
    <w:qFormat/>
    <w:rPr>
      <w:rFonts w:cs="Noto Sans Symbols"/>
    </w:rPr>
  </w:style>
  <w:style w:type="character" w:customStyle="1" w:styleId="ListLabel31">
    <w:name w:val="ListLabel 31"/>
    <w:qFormat/>
    <w:rPr>
      <w:rFonts w:cs="Noto Sans Symbols"/>
    </w:rPr>
  </w:style>
  <w:style w:type="character" w:customStyle="1" w:styleId="ListLabel32">
    <w:name w:val="ListLabel 32"/>
    <w:qFormat/>
    <w:rPr>
      <w:rFonts w:cs="Noto Sans Symbols"/>
      <w:sz w:val="22"/>
    </w:rPr>
  </w:style>
  <w:style w:type="character" w:customStyle="1" w:styleId="ListLabel33">
    <w:name w:val="ListLabel 33"/>
    <w:qFormat/>
    <w:rPr>
      <w:rFonts w:cs="Noto Sans Symbols"/>
    </w:rPr>
  </w:style>
  <w:style w:type="character" w:customStyle="1" w:styleId="ListLabel34">
    <w:name w:val="ListLabel 34"/>
    <w:qFormat/>
    <w:rPr>
      <w:rFonts w:cs="Noto Sans Symbols"/>
    </w:rPr>
  </w:style>
  <w:style w:type="character" w:customStyle="1" w:styleId="ListLabel35">
    <w:name w:val="ListLabel 35"/>
    <w:qFormat/>
    <w:rPr>
      <w:rFonts w:cs="Noto Sans Symbols"/>
    </w:rPr>
  </w:style>
  <w:style w:type="character" w:customStyle="1" w:styleId="ListLabel36">
    <w:name w:val="ListLabel 36"/>
    <w:qFormat/>
    <w:rPr>
      <w:rFonts w:cs="Noto Sans Symbols"/>
    </w:rPr>
  </w:style>
  <w:style w:type="character" w:customStyle="1" w:styleId="ListLabel37">
    <w:name w:val="ListLabel 37"/>
    <w:qFormat/>
    <w:rPr>
      <w:rFonts w:cs="Noto Sans Symbols"/>
    </w:rPr>
  </w:style>
  <w:style w:type="character" w:customStyle="1" w:styleId="ListLabel38">
    <w:name w:val="ListLabel 38"/>
    <w:qFormat/>
    <w:rPr>
      <w:rFonts w:cs="Noto Sans Symbols"/>
    </w:rPr>
  </w:style>
  <w:style w:type="character" w:customStyle="1" w:styleId="ListLabel39">
    <w:name w:val="ListLabel 39"/>
    <w:qFormat/>
    <w:rPr>
      <w:rFonts w:cs="Noto Sans Symbols"/>
    </w:rPr>
  </w:style>
  <w:style w:type="character" w:customStyle="1" w:styleId="ListLabel40">
    <w:name w:val="ListLabel 40"/>
    <w:qFormat/>
    <w:rPr>
      <w:rFonts w:cs="Noto Sans Symbols"/>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eastAsia="Calibri"/>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sz w:val="20"/>
      <w:szCs w:val="20"/>
    </w:rPr>
  </w:style>
  <w:style w:type="character" w:customStyle="1" w:styleId="ListLabel49">
    <w:name w:val="ListLabel 49"/>
    <w:qFormat/>
    <w:rPr>
      <w:rFonts w:eastAsia="Liberation Sans" w:cs="Liberation Sans"/>
      <w:color w:val="000000"/>
      <w:u w:val="single"/>
    </w:rPr>
  </w:style>
  <w:style w:type="character" w:customStyle="1" w:styleId="Enlacedelndice">
    <w:name w:val="Enlace del índice"/>
    <w:qFormat/>
  </w:style>
  <w:style w:type="character" w:customStyle="1" w:styleId="Ancladenotafinal">
    <w:name w:val="Ancla de nota final"/>
    <w:rPr>
      <w:vertAlign w:val="superscript"/>
    </w:rPr>
  </w:style>
  <w:style w:type="character" w:customStyle="1" w:styleId="Caracteresdenotafinal">
    <w:name w:val="Caracteres de nota final"/>
    <w:qFormat/>
  </w:style>
  <w:style w:type="character" w:customStyle="1" w:styleId="ListLabel50">
    <w:name w:val="ListLabel 50"/>
    <w:qFormat/>
    <w:rPr>
      <w:rFonts w:cs="Noto Sans Symbols"/>
    </w:rPr>
  </w:style>
  <w:style w:type="character" w:customStyle="1" w:styleId="ListLabel51">
    <w:name w:val="ListLabel 51"/>
    <w:qFormat/>
    <w:rPr>
      <w:rFonts w:cs="Noto Sans Symbols"/>
    </w:rPr>
  </w:style>
  <w:style w:type="character" w:customStyle="1" w:styleId="ListLabel52">
    <w:name w:val="ListLabel 52"/>
    <w:qFormat/>
    <w:rPr>
      <w:rFonts w:cs="Noto Sans Symbols"/>
    </w:rPr>
  </w:style>
  <w:style w:type="character" w:customStyle="1" w:styleId="ListLabel53">
    <w:name w:val="ListLabel 53"/>
    <w:qFormat/>
    <w:rPr>
      <w:rFonts w:cs="Noto Sans Symbols"/>
    </w:rPr>
  </w:style>
  <w:style w:type="character" w:customStyle="1" w:styleId="ListLabel54">
    <w:name w:val="ListLabel 54"/>
    <w:qFormat/>
    <w:rPr>
      <w:rFonts w:cs="Noto Sans Symbols"/>
    </w:rPr>
  </w:style>
  <w:style w:type="character" w:customStyle="1" w:styleId="ListLabel55">
    <w:name w:val="ListLabel 55"/>
    <w:qFormat/>
    <w:rPr>
      <w:rFonts w:cs="Noto Sans Symbols"/>
    </w:rPr>
  </w:style>
  <w:style w:type="character" w:customStyle="1" w:styleId="ListLabel56">
    <w:name w:val="ListLabel 56"/>
    <w:qFormat/>
    <w:rPr>
      <w:rFonts w:cs="Noto Sans Symbols"/>
    </w:rPr>
  </w:style>
  <w:style w:type="character" w:customStyle="1" w:styleId="ListLabel57">
    <w:name w:val="ListLabel 57"/>
    <w:qFormat/>
    <w:rPr>
      <w:rFonts w:cs="Noto Sans Symbols"/>
    </w:rPr>
  </w:style>
  <w:style w:type="character" w:customStyle="1" w:styleId="ListLabel58">
    <w:name w:val="ListLabel 58"/>
    <w:qFormat/>
    <w:rPr>
      <w:rFonts w:cs="Noto Sans Symbols"/>
    </w:rPr>
  </w:style>
  <w:style w:type="character" w:customStyle="1" w:styleId="ListLabel59">
    <w:name w:val="ListLabel 59"/>
    <w:qFormat/>
    <w:rPr>
      <w:rFonts w:cs="Noto Sans Symbols"/>
    </w:rPr>
  </w:style>
  <w:style w:type="character" w:customStyle="1" w:styleId="ListLabel60">
    <w:name w:val="ListLabel 60"/>
    <w:qFormat/>
    <w:rPr>
      <w:rFonts w:cs="Noto Sans Symbols"/>
    </w:rPr>
  </w:style>
  <w:style w:type="character" w:customStyle="1" w:styleId="ListLabel61">
    <w:name w:val="ListLabel 61"/>
    <w:qFormat/>
    <w:rPr>
      <w:rFonts w:cs="Noto Sans Symbols"/>
    </w:rPr>
  </w:style>
  <w:style w:type="character" w:customStyle="1" w:styleId="ListLabel62">
    <w:name w:val="ListLabel 62"/>
    <w:qFormat/>
    <w:rPr>
      <w:rFonts w:cs="Noto Sans Symbols"/>
    </w:rPr>
  </w:style>
  <w:style w:type="character" w:customStyle="1" w:styleId="ListLabel63">
    <w:name w:val="ListLabel 63"/>
    <w:qFormat/>
    <w:rPr>
      <w:rFonts w:cs="Noto Sans Symbols"/>
    </w:rPr>
  </w:style>
  <w:style w:type="character" w:customStyle="1" w:styleId="ListLabel64">
    <w:name w:val="ListLabel 64"/>
    <w:qFormat/>
    <w:rPr>
      <w:rFonts w:cs="Noto Sans Symbols"/>
    </w:rPr>
  </w:style>
  <w:style w:type="character" w:customStyle="1" w:styleId="ListLabel65">
    <w:name w:val="ListLabel 65"/>
    <w:qFormat/>
    <w:rPr>
      <w:rFonts w:cs="Noto Sans Symbols"/>
    </w:rPr>
  </w:style>
  <w:style w:type="character" w:customStyle="1" w:styleId="ListLabel66">
    <w:name w:val="ListLabel 66"/>
    <w:qFormat/>
    <w:rPr>
      <w:rFonts w:cs="Noto Sans Symbols"/>
    </w:rPr>
  </w:style>
  <w:style w:type="character" w:customStyle="1" w:styleId="ListLabel67">
    <w:name w:val="ListLabel 67"/>
    <w:qFormat/>
    <w:rPr>
      <w:rFonts w:cs="Noto Sans Symbols"/>
    </w:rPr>
  </w:style>
  <w:style w:type="character" w:customStyle="1" w:styleId="ListLabel68">
    <w:name w:val="ListLabel 68"/>
    <w:qFormat/>
    <w:rPr>
      <w:rFonts w:cs="Symbol"/>
    </w:rPr>
  </w:style>
  <w:style w:type="character" w:customStyle="1" w:styleId="ListLabel69">
    <w:name w:val="ListLabel 69"/>
    <w:qFormat/>
    <w:rPr>
      <w:rFonts w:cs="Courier New"/>
    </w:rPr>
  </w:style>
  <w:style w:type="character" w:customStyle="1" w:styleId="ListLabel70">
    <w:name w:val="ListLabel 70"/>
    <w:qFormat/>
    <w:rPr>
      <w:rFonts w:cs="Wingdings"/>
    </w:rPr>
  </w:style>
  <w:style w:type="character" w:customStyle="1" w:styleId="ListLabel71">
    <w:name w:val="ListLabel 71"/>
    <w:qFormat/>
    <w:rPr>
      <w:rFonts w:cs="Symbol"/>
    </w:rPr>
  </w:style>
  <w:style w:type="character" w:customStyle="1" w:styleId="ListLabel72">
    <w:name w:val="ListLabel 72"/>
    <w:qFormat/>
    <w:rPr>
      <w:rFonts w:cs="Courier New"/>
    </w:rPr>
  </w:style>
  <w:style w:type="character" w:customStyle="1" w:styleId="ListLabel73">
    <w:name w:val="ListLabel 73"/>
    <w:qFormat/>
    <w:rPr>
      <w:rFonts w:cs="Wingdings"/>
    </w:rPr>
  </w:style>
  <w:style w:type="character" w:customStyle="1" w:styleId="ListLabel74">
    <w:name w:val="ListLabel 74"/>
    <w:qFormat/>
    <w:rPr>
      <w:rFonts w:cs="Symbol"/>
    </w:rPr>
  </w:style>
  <w:style w:type="character" w:customStyle="1" w:styleId="ListLabel75">
    <w:name w:val="ListLabel 75"/>
    <w:qFormat/>
    <w:rPr>
      <w:rFonts w:cs="Courier New"/>
    </w:rPr>
  </w:style>
  <w:style w:type="character" w:customStyle="1" w:styleId="ListLabel76">
    <w:name w:val="ListLabel 76"/>
    <w:qFormat/>
    <w:rPr>
      <w:rFonts w:cs="Wingdings"/>
    </w:rPr>
  </w:style>
  <w:style w:type="character" w:customStyle="1" w:styleId="ListLabel77">
    <w:name w:val="ListLabel 77"/>
    <w:qFormat/>
    <w:rPr>
      <w:sz w:val="20"/>
      <w:szCs w:val="20"/>
    </w:rPr>
  </w:style>
  <w:style w:type="character" w:customStyle="1" w:styleId="ListLabel78">
    <w:name w:val="ListLabel 78"/>
    <w:qFormat/>
    <w:rPr>
      <w:rFonts w:eastAsia="Liberation Sans" w:cs="Liberation Sans"/>
      <w:color w:val="000000"/>
      <w:u w:val="single"/>
    </w:rPr>
  </w:style>
  <w:style w:type="character" w:customStyle="1" w:styleId="EnlacedeInternetvisitado">
    <w:name w:val="Enlace de Internet visitado"/>
    <w:rPr>
      <w:color w:val="800000"/>
      <w:u w:val="single"/>
    </w:rPr>
  </w:style>
  <w:style w:type="character" w:customStyle="1" w:styleId="Vietas">
    <w:name w:val="Viñetas"/>
    <w:qFormat/>
    <w:rPr>
      <w:rFonts w:ascii="OpenSymbol" w:eastAsia="OpenSymbol" w:hAnsi="OpenSymbol" w:cs="OpenSymbol"/>
    </w:rPr>
  </w:style>
  <w:style w:type="character" w:customStyle="1" w:styleId="ListLabel79">
    <w:name w:val="ListLabel 79"/>
    <w:qFormat/>
    <w:rPr>
      <w:rFonts w:cs="Noto Sans Symbols"/>
    </w:rPr>
  </w:style>
  <w:style w:type="character" w:customStyle="1" w:styleId="ListLabel80">
    <w:name w:val="ListLabel 80"/>
    <w:qFormat/>
    <w:rPr>
      <w:rFonts w:cs="Noto Sans Symbols"/>
    </w:rPr>
  </w:style>
  <w:style w:type="character" w:customStyle="1" w:styleId="ListLabel81">
    <w:name w:val="ListLabel 81"/>
    <w:qFormat/>
    <w:rPr>
      <w:rFonts w:cs="Noto Sans Symbols"/>
    </w:rPr>
  </w:style>
  <w:style w:type="character" w:customStyle="1" w:styleId="ListLabel82">
    <w:name w:val="ListLabel 82"/>
    <w:qFormat/>
    <w:rPr>
      <w:rFonts w:cs="Noto Sans Symbols"/>
    </w:rPr>
  </w:style>
  <w:style w:type="character" w:customStyle="1" w:styleId="ListLabel83">
    <w:name w:val="ListLabel 83"/>
    <w:qFormat/>
    <w:rPr>
      <w:rFonts w:cs="Noto Sans Symbols"/>
    </w:rPr>
  </w:style>
  <w:style w:type="character" w:customStyle="1" w:styleId="ListLabel84">
    <w:name w:val="ListLabel 84"/>
    <w:qFormat/>
    <w:rPr>
      <w:rFonts w:cs="Noto Sans Symbols"/>
    </w:rPr>
  </w:style>
  <w:style w:type="character" w:customStyle="1" w:styleId="ListLabel85">
    <w:name w:val="ListLabel 85"/>
    <w:qFormat/>
    <w:rPr>
      <w:rFonts w:cs="Noto Sans Symbols"/>
    </w:rPr>
  </w:style>
  <w:style w:type="character" w:customStyle="1" w:styleId="ListLabel86">
    <w:name w:val="ListLabel 86"/>
    <w:qFormat/>
    <w:rPr>
      <w:rFonts w:cs="Noto Sans Symbols"/>
    </w:rPr>
  </w:style>
  <w:style w:type="character" w:customStyle="1" w:styleId="ListLabel87">
    <w:name w:val="ListLabel 87"/>
    <w:qFormat/>
    <w:rPr>
      <w:rFonts w:cs="Noto Sans Symbols"/>
    </w:rPr>
  </w:style>
  <w:style w:type="character" w:customStyle="1" w:styleId="ListLabel88">
    <w:name w:val="ListLabel 88"/>
    <w:qFormat/>
    <w:rPr>
      <w:rFonts w:cs="Noto Sans Symbols"/>
    </w:rPr>
  </w:style>
  <w:style w:type="character" w:customStyle="1" w:styleId="ListLabel89">
    <w:name w:val="ListLabel 89"/>
    <w:qFormat/>
    <w:rPr>
      <w:rFonts w:cs="Noto Sans Symbols"/>
    </w:rPr>
  </w:style>
  <w:style w:type="character" w:customStyle="1" w:styleId="ListLabel90">
    <w:name w:val="ListLabel 90"/>
    <w:qFormat/>
    <w:rPr>
      <w:rFonts w:cs="Noto Sans Symbols"/>
    </w:rPr>
  </w:style>
  <w:style w:type="character" w:customStyle="1" w:styleId="ListLabel91">
    <w:name w:val="ListLabel 91"/>
    <w:qFormat/>
    <w:rPr>
      <w:rFonts w:cs="Noto Sans Symbols"/>
    </w:rPr>
  </w:style>
  <w:style w:type="character" w:customStyle="1" w:styleId="ListLabel92">
    <w:name w:val="ListLabel 92"/>
    <w:qFormat/>
    <w:rPr>
      <w:rFonts w:cs="Noto Sans Symbols"/>
    </w:rPr>
  </w:style>
  <w:style w:type="character" w:customStyle="1" w:styleId="ListLabel93">
    <w:name w:val="ListLabel 93"/>
    <w:qFormat/>
    <w:rPr>
      <w:rFonts w:cs="Noto Sans Symbols"/>
    </w:rPr>
  </w:style>
  <w:style w:type="character" w:customStyle="1" w:styleId="ListLabel94">
    <w:name w:val="ListLabel 94"/>
    <w:qFormat/>
    <w:rPr>
      <w:rFonts w:cs="Noto Sans Symbols"/>
    </w:rPr>
  </w:style>
  <w:style w:type="character" w:customStyle="1" w:styleId="ListLabel95">
    <w:name w:val="ListLabel 95"/>
    <w:qFormat/>
    <w:rPr>
      <w:rFonts w:cs="Noto Sans Symbols"/>
    </w:rPr>
  </w:style>
  <w:style w:type="character" w:customStyle="1" w:styleId="ListLabel96">
    <w:name w:val="ListLabel 96"/>
    <w:qFormat/>
    <w:rPr>
      <w:rFonts w:cs="Noto Sans Symbols"/>
    </w:rPr>
  </w:style>
  <w:style w:type="character" w:customStyle="1" w:styleId="ListLabel97">
    <w:name w:val="ListLabel 97"/>
    <w:qFormat/>
    <w:rPr>
      <w:rFonts w:cs="Symbol"/>
    </w:rPr>
  </w:style>
  <w:style w:type="character" w:customStyle="1" w:styleId="ListLabel98">
    <w:name w:val="ListLabel 98"/>
    <w:qFormat/>
    <w:rPr>
      <w:rFonts w:cs="Courier New"/>
    </w:rPr>
  </w:style>
  <w:style w:type="character" w:customStyle="1" w:styleId="ListLabel99">
    <w:name w:val="ListLabel 99"/>
    <w:qFormat/>
    <w:rPr>
      <w:rFonts w:cs="Wingdings"/>
    </w:rPr>
  </w:style>
  <w:style w:type="character" w:customStyle="1" w:styleId="ListLabel100">
    <w:name w:val="ListLabel 100"/>
    <w:qFormat/>
    <w:rPr>
      <w:rFonts w:cs="Symbol"/>
    </w:rPr>
  </w:style>
  <w:style w:type="character" w:customStyle="1" w:styleId="ListLabel101">
    <w:name w:val="ListLabel 101"/>
    <w:qFormat/>
    <w:rPr>
      <w:rFonts w:cs="Courier New"/>
    </w:rPr>
  </w:style>
  <w:style w:type="character" w:customStyle="1" w:styleId="ListLabel102">
    <w:name w:val="ListLabel 102"/>
    <w:qFormat/>
    <w:rPr>
      <w:rFonts w:cs="Wingdings"/>
    </w:rPr>
  </w:style>
  <w:style w:type="character" w:customStyle="1" w:styleId="ListLabel103">
    <w:name w:val="ListLabel 103"/>
    <w:qFormat/>
    <w:rPr>
      <w:rFonts w:cs="Symbol"/>
    </w:rPr>
  </w:style>
  <w:style w:type="character" w:customStyle="1" w:styleId="ListLabel104">
    <w:name w:val="ListLabel 104"/>
    <w:qFormat/>
    <w:rPr>
      <w:rFonts w:cs="Courier New"/>
    </w:rPr>
  </w:style>
  <w:style w:type="character" w:customStyle="1" w:styleId="ListLabel105">
    <w:name w:val="ListLabel 105"/>
    <w:qFormat/>
    <w:rPr>
      <w:rFonts w:cs="Wingdings"/>
    </w:rPr>
  </w:style>
  <w:style w:type="character" w:customStyle="1" w:styleId="ListLabel106">
    <w:name w:val="ListLabel 106"/>
    <w:qFormat/>
    <w:rPr>
      <w:rFonts w:cs="OpenSymbol"/>
    </w:rPr>
  </w:style>
  <w:style w:type="character" w:customStyle="1" w:styleId="ListLabel107">
    <w:name w:val="ListLabel 107"/>
    <w:qFormat/>
    <w:rPr>
      <w:rFonts w:cs="OpenSymbol"/>
    </w:rPr>
  </w:style>
  <w:style w:type="character" w:customStyle="1" w:styleId="ListLabel108">
    <w:name w:val="ListLabel 108"/>
    <w:qFormat/>
    <w:rPr>
      <w:rFonts w:cs="OpenSymbol"/>
    </w:rPr>
  </w:style>
  <w:style w:type="character" w:customStyle="1" w:styleId="ListLabel109">
    <w:name w:val="ListLabel 109"/>
    <w:qFormat/>
    <w:rPr>
      <w:rFonts w:cs="OpenSymbol"/>
    </w:rPr>
  </w:style>
  <w:style w:type="character" w:customStyle="1" w:styleId="ListLabel110">
    <w:name w:val="ListLabel 110"/>
    <w:qFormat/>
    <w:rPr>
      <w:rFonts w:cs="OpenSymbol"/>
    </w:rPr>
  </w:style>
  <w:style w:type="character" w:customStyle="1" w:styleId="ListLabel111">
    <w:name w:val="ListLabel 111"/>
    <w:qFormat/>
    <w:rPr>
      <w:rFonts w:cs="OpenSymbol"/>
    </w:rPr>
  </w:style>
  <w:style w:type="character" w:customStyle="1" w:styleId="ListLabel112">
    <w:name w:val="ListLabel 112"/>
    <w:qFormat/>
    <w:rPr>
      <w:rFonts w:cs="OpenSymbol"/>
    </w:rPr>
  </w:style>
  <w:style w:type="character" w:customStyle="1" w:styleId="ListLabel113">
    <w:name w:val="ListLabel 113"/>
    <w:qFormat/>
    <w:rPr>
      <w:rFonts w:cs="OpenSymbol"/>
    </w:rPr>
  </w:style>
  <w:style w:type="character" w:customStyle="1" w:styleId="ListLabel114">
    <w:name w:val="ListLabel 114"/>
    <w:qFormat/>
    <w:rPr>
      <w:rFonts w:cs="OpenSymbol"/>
    </w:rPr>
  </w:style>
  <w:style w:type="character" w:customStyle="1" w:styleId="ListLabel115">
    <w:name w:val="ListLabel 115"/>
    <w:qFormat/>
    <w:rPr>
      <w:sz w:val="20"/>
      <w:szCs w:val="20"/>
    </w:rPr>
  </w:style>
  <w:style w:type="character" w:customStyle="1" w:styleId="ListLabel116">
    <w:name w:val="ListLabel 116"/>
    <w:qFormat/>
    <w:rPr>
      <w:rFonts w:eastAsia="Liberation Sans" w:cs="Liberation Sans"/>
      <w:color w:val="000000"/>
      <w:u w:val="single"/>
    </w:rPr>
  </w:style>
  <w:style w:type="character" w:customStyle="1" w:styleId="ListLabel117">
    <w:name w:val="ListLabel 117"/>
    <w:qFormat/>
  </w:style>
  <w:style w:type="character" w:customStyle="1" w:styleId="ListLabel118">
    <w:name w:val="ListLabel 118"/>
    <w:qFormat/>
    <w:rPr>
      <w:rFonts w:cs="Noto Sans Symbols"/>
    </w:rPr>
  </w:style>
  <w:style w:type="character" w:customStyle="1" w:styleId="ListLabel119">
    <w:name w:val="ListLabel 119"/>
    <w:qFormat/>
    <w:rPr>
      <w:rFonts w:cs="Noto Sans Symbols"/>
    </w:rPr>
  </w:style>
  <w:style w:type="character" w:customStyle="1" w:styleId="ListLabel120">
    <w:name w:val="ListLabel 120"/>
    <w:qFormat/>
    <w:rPr>
      <w:rFonts w:cs="Noto Sans Symbols"/>
    </w:rPr>
  </w:style>
  <w:style w:type="character" w:customStyle="1" w:styleId="ListLabel121">
    <w:name w:val="ListLabel 121"/>
    <w:qFormat/>
    <w:rPr>
      <w:rFonts w:cs="Noto Sans Symbols"/>
    </w:rPr>
  </w:style>
  <w:style w:type="character" w:customStyle="1" w:styleId="ListLabel122">
    <w:name w:val="ListLabel 122"/>
    <w:qFormat/>
    <w:rPr>
      <w:rFonts w:cs="Noto Sans Symbols"/>
    </w:rPr>
  </w:style>
  <w:style w:type="character" w:customStyle="1" w:styleId="ListLabel123">
    <w:name w:val="ListLabel 123"/>
    <w:qFormat/>
    <w:rPr>
      <w:rFonts w:cs="Noto Sans Symbols"/>
    </w:rPr>
  </w:style>
  <w:style w:type="character" w:customStyle="1" w:styleId="ListLabel124">
    <w:name w:val="ListLabel 124"/>
    <w:qFormat/>
    <w:rPr>
      <w:rFonts w:cs="Noto Sans Symbols"/>
    </w:rPr>
  </w:style>
  <w:style w:type="character" w:customStyle="1" w:styleId="ListLabel125">
    <w:name w:val="ListLabel 125"/>
    <w:qFormat/>
    <w:rPr>
      <w:rFonts w:cs="Noto Sans Symbols"/>
    </w:rPr>
  </w:style>
  <w:style w:type="character" w:customStyle="1" w:styleId="ListLabel126">
    <w:name w:val="ListLabel 126"/>
    <w:qFormat/>
    <w:rPr>
      <w:rFonts w:cs="Noto Sans Symbols"/>
    </w:rPr>
  </w:style>
  <w:style w:type="character" w:customStyle="1" w:styleId="ListLabel127">
    <w:name w:val="ListLabel 127"/>
    <w:qFormat/>
    <w:rPr>
      <w:rFonts w:cs="Noto Sans Symbols"/>
    </w:rPr>
  </w:style>
  <w:style w:type="character" w:customStyle="1" w:styleId="ListLabel128">
    <w:name w:val="ListLabel 128"/>
    <w:qFormat/>
    <w:rPr>
      <w:rFonts w:cs="Noto Sans Symbols"/>
    </w:rPr>
  </w:style>
  <w:style w:type="character" w:customStyle="1" w:styleId="ListLabel129">
    <w:name w:val="ListLabel 129"/>
    <w:qFormat/>
    <w:rPr>
      <w:rFonts w:cs="Noto Sans Symbols"/>
    </w:rPr>
  </w:style>
  <w:style w:type="character" w:customStyle="1" w:styleId="ListLabel130">
    <w:name w:val="ListLabel 130"/>
    <w:qFormat/>
    <w:rPr>
      <w:rFonts w:cs="Noto Sans Symbols"/>
    </w:rPr>
  </w:style>
  <w:style w:type="character" w:customStyle="1" w:styleId="ListLabel131">
    <w:name w:val="ListLabel 131"/>
    <w:qFormat/>
    <w:rPr>
      <w:rFonts w:cs="Noto Sans Symbols"/>
    </w:rPr>
  </w:style>
  <w:style w:type="character" w:customStyle="1" w:styleId="ListLabel132">
    <w:name w:val="ListLabel 132"/>
    <w:qFormat/>
    <w:rPr>
      <w:rFonts w:cs="Noto Sans Symbols"/>
    </w:rPr>
  </w:style>
  <w:style w:type="character" w:customStyle="1" w:styleId="ListLabel133">
    <w:name w:val="ListLabel 133"/>
    <w:qFormat/>
    <w:rPr>
      <w:rFonts w:cs="Noto Sans Symbols"/>
    </w:rPr>
  </w:style>
  <w:style w:type="character" w:customStyle="1" w:styleId="ListLabel134">
    <w:name w:val="ListLabel 134"/>
    <w:qFormat/>
    <w:rPr>
      <w:rFonts w:cs="Noto Sans Symbols"/>
    </w:rPr>
  </w:style>
  <w:style w:type="character" w:customStyle="1" w:styleId="ListLabel135">
    <w:name w:val="ListLabel 135"/>
    <w:qFormat/>
    <w:rPr>
      <w:rFonts w:cs="Noto Sans Symbols"/>
    </w:rPr>
  </w:style>
  <w:style w:type="character" w:customStyle="1" w:styleId="ListLabel136">
    <w:name w:val="ListLabel 136"/>
    <w:qFormat/>
    <w:rPr>
      <w:rFonts w:cs="Symbol"/>
    </w:rPr>
  </w:style>
  <w:style w:type="character" w:customStyle="1" w:styleId="ListLabel137">
    <w:name w:val="ListLabel 137"/>
    <w:qFormat/>
    <w:rPr>
      <w:rFonts w:cs="Courier New"/>
    </w:rPr>
  </w:style>
  <w:style w:type="character" w:customStyle="1" w:styleId="ListLabel138">
    <w:name w:val="ListLabel 138"/>
    <w:qFormat/>
    <w:rPr>
      <w:rFonts w:cs="Wingdings"/>
    </w:rPr>
  </w:style>
  <w:style w:type="character" w:customStyle="1" w:styleId="ListLabel139">
    <w:name w:val="ListLabel 139"/>
    <w:qFormat/>
    <w:rPr>
      <w:rFonts w:cs="Symbol"/>
    </w:rPr>
  </w:style>
  <w:style w:type="character" w:customStyle="1" w:styleId="ListLabel140">
    <w:name w:val="ListLabel 140"/>
    <w:qFormat/>
    <w:rPr>
      <w:rFonts w:cs="Courier New"/>
    </w:rPr>
  </w:style>
  <w:style w:type="character" w:customStyle="1" w:styleId="ListLabel141">
    <w:name w:val="ListLabel 141"/>
    <w:qFormat/>
    <w:rPr>
      <w:rFonts w:cs="Wingdings"/>
    </w:rPr>
  </w:style>
  <w:style w:type="character" w:customStyle="1" w:styleId="ListLabel142">
    <w:name w:val="ListLabel 142"/>
    <w:qFormat/>
    <w:rPr>
      <w:rFonts w:cs="Symbol"/>
    </w:rPr>
  </w:style>
  <w:style w:type="character" w:customStyle="1" w:styleId="ListLabel143">
    <w:name w:val="ListLabel 143"/>
    <w:qFormat/>
    <w:rPr>
      <w:rFonts w:cs="Courier New"/>
    </w:rPr>
  </w:style>
  <w:style w:type="character" w:customStyle="1" w:styleId="ListLabel144">
    <w:name w:val="ListLabel 144"/>
    <w:qFormat/>
    <w:rPr>
      <w:rFonts w:cs="Wingdings"/>
    </w:rPr>
  </w:style>
  <w:style w:type="character" w:customStyle="1" w:styleId="ListLabel145">
    <w:name w:val="ListLabel 145"/>
    <w:qFormat/>
    <w:rPr>
      <w:rFonts w:cs="OpenSymbol"/>
    </w:rPr>
  </w:style>
  <w:style w:type="character" w:customStyle="1" w:styleId="ListLabel146">
    <w:name w:val="ListLabel 146"/>
    <w:qFormat/>
    <w:rPr>
      <w:rFonts w:cs="OpenSymbol"/>
    </w:rPr>
  </w:style>
  <w:style w:type="character" w:customStyle="1" w:styleId="ListLabel147">
    <w:name w:val="ListLabel 147"/>
    <w:qFormat/>
    <w:rPr>
      <w:rFonts w:cs="OpenSymbol"/>
    </w:rPr>
  </w:style>
  <w:style w:type="character" w:customStyle="1" w:styleId="ListLabel148">
    <w:name w:val="ListLabel 148"/>
    <w:qFormat/>
    <w:rPr>
      <w:rFonts w:cs="OpenSymbol"/>
    </w:rPr>
  </w:style>
  <w:style w:type="character" w:customStyle="1" w:styleId="ListLabel149">
    <w:name w:val="ListLabel 149"/>
    <w:qFormat/>
    <w:rPr>
      <w:rFonts w:cs="OpenSymbol"/>
    </w:rPr>
  </w:style>
  <w:style w:type="character" w:customStyle="1" w:styleId="ListLabel150">
    <w:name w:val="ListLabel 150"/>
    <w:qFormat/>
    <w:rPr>
      <w:rFonts w:cs="OpenSymbol"/>
    </w:rPr>
  </w:style>
  <w:style w:type="character" w:customStyle="1" w:styleId="ListLabel151">
    <w:name w:val="ListLabel 151"/>
    <w:qFormat/>
    <w:rPr>
      <w:rFonts w:cs="OpenSymbol"/>
    </w:rPr>
  </w:style>
  <w:style w:type="character" w:customStyle="1" w:styleId="ListLabel152">
    <w:name w:val="ListLabel 152"/>
    <w:qFormat/>
    <w:rPr>
      <w:rFonts w:cs="OpenSymbol"/>
    </w:rPr>
  </w:style>
  <w:style w:type="character" w:customStyle="1" w:styleId="ListLabel153">
    <w:name w:val="ListLabel 153"/>
    <w:qFormat/>
    <w:rPr>
      <w:rFonts w:cs="OpenSymbol"/>
    </w:rPr>
  </w:style>
  <w:style w:type="character" w:customStyle="1" w:styleId="ListLabel154">
    <w:name w:val="ListLabel 154"/>
    <w:qFormat/>
    <w:rPr>
      <w:sz w:val="20"/>
      <w:szCs w:val="20"/>
    </w:rPr>
  </w:style>
  <w:style w:type="character" w:customStyle="1" w:styleId="ListLabel155">
    <w:name w:val="ListLabel 155"/>
    <w:qFormat/>
    <w:rPr>
      <w:rFonts w:eastAsia="Liberation Sans" w:cs="Liberation Sans"/>
      <w:color w:val="000000"/>
      <w:u w:val="single"/>
    </w:rPr>
  </w:style>
  <w:style w:type="character" w:customStyle="1" w:styleId="ListLabel156">
    <w:name w:val="ListLabel 156"/>
    <w:qFormat/>
  </w:style>
  <w:style w:type="character" w:customStyle="1" w:styleId="TextonotaalfinalCar">
    <w:name w:val="Texto nota al final Car"/>
    <w:basedOn w:val="Fuentedeprrafopredeter"/>
    <w:link w:val="Textonotaalfinal"/>
    <w:uiPriority w:val="99"/>
    <w:semiHidden/>
    <w:qFormat/>
    <w:rsid w:val="008F0FA5"/>
    <w:rPr>
      <w:rFonts w:ascii="Myriad Pro" w:eastAsia="Calibri" w:hAnsi="Myriad Pro"/>
      <w:color w:val="000000" w:themeColor="text1"/>
      <w:szCs w:val="20"/>
    </w:rPr>
  </w:style>
  <w:style w:type="character" w:customStyle="1" w:styleId="EndnoteCharacters">
    <w:name w:val="Endnote Characters"/>
    <w:basedOn w:val="Fuentedeprrafopredeter"/>
    <w:uiPriority w:val="99"/>
    <w:semiHidden/>
    <w:unhideWhenUsed/>
    <w:qFormat/>
    <w:rsid w:val="008F0FA5"/>
    <w:rPr>
      <w:vertAlign w:val="superscript"/>
    </w:rPr>
  </w:style>
  <w:style w:type="character" w:customStyle="1" w:styleId="FootnoteCharacters">
    <w:name w:val="Footnote Characters"/>
    <w:basedOn w:val="Fuentedeprrafopredeter"/>
    <w:uiPriority w:val="99"/>
    <w:semiHidden/>
    <w:unhideWhenUsed/>
    <w:qFormat/>
    <w:rsid w:val="00393C98"/>
    <w:rPr>
      <w:vertAlign w:val="superscript"/>
    </w:rPr>
  </w:style>
  <w:style w:type="character" w:customStyle="1" w:styleId="Mencinsinresolver2">
    <w:name w:val="Mención sin resolver2"/>
    <w:basedOn w:val="Fuentedeprrafopredeter"/>
    <w:uiPriority w:val="99"/>
    <w:semiHidden/>
    <w:unhideWhenUsed/>
    <w:qFormat/>
    <w:rsid w:val="00393C98"/>
    <w:rPr>
      <w:color w:val="605E5C"/>
      <w:shd w:val="clear" w:color="auto" w:fill="E1DFDD"/>
    </w:rPr>
  </w:style>
  <w:style w:type="character" w:customStyle="1" w:styleId="ListLabel157">
    <w:name w:val="ListLabel 157"/>
    <w:qFormat/>
    <w:rPr>
      <w:rFonts w:cs="Noto Sans Symbols"/>
    </w:rPr>
  </w:style>
  <w:style w:type="character" w:customStyle="1" w:styleId="ListLabel158">
    <w:name w:val="ListLabel 158"/>
    <w:qFormat/>
    <w:rPr>
      <w:rFonts w:cs="Noto Sans Symbols"/>
    </w:rPr>
  </w:style>
  <w:style w:type="character" w:customStyle="1" w:styleId="ListLabel159">
    <w:name w:val="ListLabel 159"/>
    <w:qFormat/>
    <w:rPr>
      <w:rFonts w:cs="Noto Sans Symbols"/>
    </w:rPr>
  </w:style>
  <w:style w:type="character" w:customStyle="1" w:styleId="ListLabel160">
    <w:name w:val="ListLabel 160"/>
    <w:qFormat/>
    <w:rPr>
      <w:rFonts w:cs="Noto Sans Symbols"/>
    </w:rPr>
  </w:style>
  <w:style w:type="character" w:customStyle="1" w:styleId="ListLabel161">
    <w:name w:val="ListLabel 161"/>
    <w:qFormat/>
    <w:rPr>
      <w:rFonts w:cs="Noto Sans Symbols"/>
    </w:rPr>
  </w:style>
  <w:style w:type="character" w:customStyle="1" w:styleId="ListLabel162">
    <w:name w:val="ListLabel 162"/>
    <w:qFormat/>
    <w:rPr>
      <w:rFonts w:cs="Noto Sans Symbols"/>
    </w:rPr>
  </w:style>
  <w:style w:type="character" w:customStyle="1" w:styleId="ListLabel163">
    <w:name w:val="ListLabel 163"/>
    <w:qFormat/>
    <w:rPr>
      <w:rFonts w:cs="Noto Sans Symbols"/>
    </w:rPr>
  </w:style>
  <w:style w:type="character" w:customStyle="1" w:styleId="ListLabel164">
    <w:name w:val="ListLabel 164"/>
    <w:qFormat/>
    <w:rPr>
      <w:rFonts w:cs="Noto Sans Symbols"/>
    </w:rPr>
  </w:style>
  <w:style w:type="character" w:customStyle="1" w:styleId="ListLabel165">
    <w:name w:val="ListLabel 165"/>
    <w:qFormat/>
    <w:rPr>
      <w:rFonts w:cs="Noto Sans Symbols"/>
    </w:rPr>
  </w:style>
  <w:style w:type="character" w:customStyle="1" w:styleId="ListLabel166">
    <w:name w:val="ListLabel 166"/>
    <w:qFormat/>
    <w:rPr>
      <w:rFonts w:cs="Noto Sans Symbols"/>
    </w:rPr>
  </w:style>
  <w:style w:type="character" w:customStyle="1" w:styleId="ListLabel167">
    <w:name w:val="ListLabel 167"/>
    <w:qFormat/>
    <w:rPr>
      <w:rFonts w:cs="Noto Sans Symbols"/>
    </w:rPr>
  </w:style>
  <w:style w:type="character" w:customStyle="1" w:styleId="ListLabel168">
    <w:name w:val="ListLabel 168"/>
    <w:qFormat/>
    <w:rPr>
      <w:rFonts w:cs="Noto Sans Symbols"/>
    </w:rPr>
  </w:style>
  <w:style w:type="character" w:customStyle="1" w:styleId="ListLabel169">
    <w:name w:val="ListLabel 169"/>
    <w:qFormat/>
    <w:rPr>
      <w:rFonts w:cs="Noto Sans Symbols"/>
    </w:rPr>
  </w:style>
  <w:style w:type="character" w:customStyle="1" w:styleId="ListLabel170">
    <w:name w:val="ListLabel 170"/>
    <w:qFormat/>
    <w:rPr>
      <w:rFonts w:cs="Noto Sans Symbols"/>
    </w:rPr>
  </w:style>
  <w:style w:type="character" w:customStyle="1" w:styleId="ListLabel171">
    <w:name w:val="ListLabel 171"/>
    <w:qFormat/>
    <w:rPr>
      <w:rFonts w:cs="Noto Sans Symbols"/>
    </w:rPr>
  </w:style>
  <w:style w:type="character" w:customStyle="1" w:styleId="ListLabel172">
    <w:name w:val="ListLabel 172"/>
    <w:qFormat/>
    <w:rPr>
      <w:rFonts w:cs="Noto Sans Symbols"/>
    </w:rPr>
  </w:style>
  <w:style w:type="character" w:customStyle="1" w:styleId="ListLabel173">
    <w:name w:val="ListLabel 173"/>
    <w:qFormat/>
    <w:rPr>
      <w:rFonts w:cs="Noto Sans Symbols"/>
    </w:rPr>
  </w:style>
  <w:style w:type="character" w:customStyle="1" w:styleId="ListLabel174">
    <w:name w:val="ListLabel 174"/>
    <w:qFormat/>
    <w:rPr>
      <w:rFonts w:cs="Noto Sans Symbols"/>
    </w:rPr>
  </w:style>
  <w:style w:type="character" w:customStyle="1" w:styleId="ListLabel175">
    <w:name w:val="ListLabel 175"/>
    <w:qFormat/>
    <w:rPr>
      <w:rFonts w:cs="Symbol"/>
    </w:rPr>
  </w:style>
  <w:style w:type="character" w:customStyle="1" w:styleId="ListLabel176">
    <w:name w:val="ListLabel 176"/>
    <w:qFormat/>
    <w:rPr>
      <w:rFonts w:cs="Courier New"/>
    </w:rPr>
  </w:style>
  <w:style w:type="character" w:customStyle="1" w:styleId="ListLabel177">
    <w:name w:val="ListLabel 177"/>
    <w:qFormat/>
    <w:rPr>
      <w:rFonts w:cs="Wingdings"/>
    </w:rPr>
  </w:style>
  <w:style w:type="character" w:customStyle="1" w:styleId="ListLabel178">
    <w:name w:val="ListLabel 178"/>
    <w:qFormat/>
    <w:rPr>
      <w:rFonts w:cs="Symbol"/>
    </w:rPr>
  </w:style>
  <w:style w:type="character" w:customStyle="1" w:styleId="ListLabel179">
    <w:name w:val="ListLabel 179"/>
    <w:qFormat/>
    <w:rPr>
      <w:rFonts w:cs="Courier New"/>
    </w:rPr>
  </w:style>
  <w:style w:type="character" w:customStyle="1" w:styleId="ListLabel180">
    <w:name w:val="ListLabel 180"/>
    <w:qFormat/>
    <w:rPr>
      <w:rFonts w:cs="Wingdings"/>
    </w:rPr>
  </w:style>
  <w:style w:type="character" w:customStyle="1" w:styleId="ListLabel181">
    <w:name w:val="ListLabel 181"/>
    <w:qFormat/>
    <w:rPr>
      <w:rFonts w:cs="Symbol"/>
    </w:rPr>
  </w:style>
  <w:style w:type="character" w:customStyle="1" w:styleId="ListLabel182">
    <w:name w:val="ListLabel 182"/>
    <w:qFormat/>
    <w:rPr>
      <w:rFonts w:cs="Courier New"/>
    </w:rPr>
  </w:style>
  <w:style w:type="character" w:customStyle="1" w:styleId="ListLabel183">
    <w:name w:val="ListLabel 183"/>
    <w:qFormat/>
    <w:rPr>
      <w:rFonts w:cs="Wingdings"/>
    </w:rPr>
  </w:style>
  <w:style w:type="character" w:customStyle="1" w:styleId="ListLabel184">
    <w:name w:val="ListLabel 184"/>
    <w:qFormat/>
    <w:rPr>
      <w:rFonts w:cs="OpenSymbol"/>
    </w:rPr>
  </w:style>
  <w:style w:type="character" w:customStyle="1" w:styleId="ListLabel185">
    <w:name w:val="ListLabel 185"/>
    <w:qFormat/>
    <w:rPr>
      <w:rFonts w:cs="OpenSymbol"/>
    </w:rPr>
  </w:style>
  <w:style w:type="character" w:customStyle="1" w:styleId="ListLabel186">
    <w:name w:val="ListLabel 186"/>
    <w:qFormat/>
    <w:rPr>
      <w:rFonts w:cs="OpenSymbol"/>
    </w:rPr>
  </w:style>
  <w:style w:type="character" w:customStyle="1" w:styleId="ListLabel187">
    <w:name w:val="ListLabel 187"/>
    <w:qFormat/>
    <w:rPr>
      <w:rFonts w:cs="OpenSymbol"/>
    </w:rPr>
  </w:style>
  <w:style w:type="character" w:customStyle="1" w:styleId="ListLabel188">
    <w:name w:val="ListLabel 188"/>
    <w:qFormat/>
    <w:rPr>
      <w:rFonts w:cs="OpenSymbol"/>
    </w:rPr>
  </w:style>
  <w:style w:type="character" w:customStyle="1" w:styleId="ListLabel189">
    <w:name w:val="ListLabel 189"/>
    <w:qFormat/>
    <w:rPr>
      <w:rFonts w:cs="OpenSymbol"/>
    </w:rPr>
  </w:style>
  <w:style w:type="character" w:customStyle="1" w:styleId="ListLabel190">
    <w:name w:val="ListLabel 190"/>
    <w:qFormat/>
    <w:rPr>
      <w:rFonts w:cs="OpenSymbol"/>
    </w:rPr>
  </w:style>
  <w:style w:type="character" w:customStyle="1" w:styleId="ListLabel191">
    <w:name w:val="ListLabel 191"/>
    <w:qFormat/>
    <w:rPr>
      <w:rFonts w:cs="OpenSymbol"/>
    </w:rPr>
  </w:style>
  <w:style w:type="character" w:customStyle="1" w:styleId="ListLabel192">
    <w:name w:val="ListLabel 192"/>
    <w:qFormat/>
    <w:rPr>
      <w:rFonts w:cs="OpenSymbol"/>
    </w:rPr>
  </w:style>
  <w:style w:type="character" w:customStyle="1" w:styleId="ListLabel193">
    <w:name w:val="ListLabel 193"/>
    <w:qFormat/>
    <w:rPr>
      <w:rFonts w:ascii="Liberation Sans" w:hAnsi="Liberation Sans"/>
      <w:b/>
      <w:i w:val="0"/>
      <w:color w:val="7030A0"/>
      <w:sz w:val="22"/>
    </w:rPr>
  </w:style>
  <w:style w:type="character" w:customStyle="1" w:styleId="ListLabel194">
    <w:name w:val="ListLabel 194"/>
    <w:qFormat/>
    <w:rPr>
      <w:rFonts w:eastAsia="Calibri"/>
    </w:rPr>
  </w:style>
  <w:style w:type="character" w:customStyle="1" w:styleId="ListLabel195">
    <w:name w:val="ListLabel 195"/>
    <w:qFormat/>
    <w:rPr>
      <w:rFonts w:cs="Courier New"/>
    </w:rPr>
  </w:style>
  <w:style w:type="character" w:customStyle="1" w:styleId="ListLabel196">
    <w:name w:val="ListLabel 196"/>
    <w:qFormat/>
    <w:rPr>
      <w:rFonts w:cs="Courier New"/>
    </w:rPr>
  </w:style>
  <w:style w:type="character" w:customStyle="1" w:styleId="ListLabel197">
    <w:name w:val="ListLabel 197"/>
    <w:qFormat/>
    <w:rPr>
      <w:rFonts w:cs="Courier New"/>
    </w:rPr>
  </w:style>
  <w:style w:type="character" w:customStyle="1" w:styleId="ListLabel198">
    <w:name w:val="ListLabel 198"/>
    <w:qFormat/>
    <w:rPr>
      <w:sz w:val="20"/>
      <w:szCs w:val="20"/>
    </w:rPr>
  </w:style>
  <w:style w:type="character" w:customStyle="1" w:styleId="ListLabel199">
    <w:name w:val="ListLabel 199"/>
    <w:qFormat/>
    <w:rPr>
      <w:rFonts w:ascii="Liberation Sans" w:eastAsia="Liberation Sans" w:hAnsi="Liberation Sans" w:cs="Liberation Sans"/>
      <w:sz w:val="22"/>
      <w:szCs w:val="22"/>
    </w:rPr>
  </w:style>
  <w:style w:type="character" w:customStyle="1" w:styleId="ListLabel200">
    <w:name w:val="ListLabel 200"/>
    <w:qFormat/>
    <w:rPr>
      <w:rFonts w:eastAsia="Liberation Sans" w:cs="Liberation Sans"/>
    </w:rPr>
  </w:style>
  <w:style w:type="character" w:customStyle="1" w:styleId="ListLabel201">
    <w:name w:val="ListLabel 201"/>
    <w:qFormat/>
    <w:rPr>
      <w:rFonts w:eastAsia="Liberation Sans" w:cs="Liberation Sans"/>
      <w:b/>
      <w:bCs/>
    </w:rPr>
  </w:style>
  <w:style w:type="character" w:customStyle="1" w:styleId="ListLabel202">
    <w:name w:val="ListLabel 202"/>
    <w:qFormat/>
  </w:style>
  <w:style w:type="character" w:customStyle="1" w:styleId="ListLabel203">
    <w:name w:val="ListLabel 203"/>
    <w:qFormat/>
    <w:rPr>
      <w:rFonts w:ascii="Liberation Sans" w:eastAsia="Liberation Sans" w:hAnsi="Liberation Sans" w:cs="Liberation Sans"/>
      <w:b/>
      <w:sz w:val="22"/>
      <w:szCs w:val="22"/>
    </w:rPr>
  </w:style>
  <w:style w:type="character" w:customStyle="1" w:styleId="ListLabel204">
    <w:name w:val="ListLabel 204"/>
    <w:qFormat/>
  </w:style>
  <w:style w:type="character" w:customStyle="1" w:styleId="ListLabel205">
    <w:name w:val="ListLabel 205"/>
    <w:qFormat/>
    <w:rPr>
      <w:lang w:val="en-GB"/>
    </w:rPr>
  </w:style>
  <w:style w:type="character" w:customStyle="1" w:styleId="ListLabel206">
    <w:name w:val="ListLabel 206"/>
    <w:qFormat/>
    <w:rPr>
      <w:rFonts w:cs="Noto Sans Symbols"/>
    </w:rPr>
  </w:style>
  <w:style w:type="character" w:customStyle="1" w:styleId="ListLabel207">
    <w:name w:val="ListLabel 207"/>
    <w:qFormat/>
    <w:rPr>
      <w:rFonts w:cs="Noto Sans Symbols"/>
    </w:rPr>
  </w:style>
  <w:style w:type="character" w:customStyle="1" w:styleId="ListLabel208">
    <w:name w:val="ListLabel 208"/>
    <w:qFormat/>
    <w:rPr>
      <w:rFonts w:cs="Noto Sans Symbols"/>
    </w:rPr>
  </w:style>
  <w:style w:type="character" w:customStyle="1" w:styleId="ListLabel209">
    <w:name w:val="ListLabel 209"/>
    <w:qFormat/>
    <w:rPr>
      <w:rFonts w:cs="Noto Sans Symbols"/>
    </w:rPr>
  </w:style>
  <w:style w:type="character" w:customStyle="1" w:styleId="ListLabel210">
    <w:name w:val="ListLabel 210"/>
    <w:qFormat/>
    <w:rPr>
      <w:rFonts w:cs="Noto Sans Symbols"/>
    </w:rPr>
  </w:style>
  <w:style w:type="character" w:customStyle="1" w:styleId="ListLabel211">
    <w:name w:val="ListLabel 211"/>
    <w:qFormat/>
    <w:rPr>
      <w:rFonts w:cs="Noto Sans Symbols"/>
    </w:rPr>
  </w:style>
  <w:style w:type="character" w:customStyle="1" w:styleId="ListLabel212">
    <w:name w:val="ListLabel 212"/>
    <w:qFormat/>
    <w:rPr>
      <w:rFonts w:cs="Noto Sans Symbols"/>
    </w:rPr>
  </w:style>
  <w:style w:type="character" w:customStyle="1" w:styleId="ListLabel213">
    <w:name w:val="ListLabel 213"/>
    <w:qFormat/>
    <w:rPr>
      <w:rFonts w:cs="Noto Sans Symbols"/>
    </w:rPr>
  </w:style>
  <w:style w:type="character" w:customStyle="1" w:styleId="ListLabel214">
    <w:name w:val="ListLabel 214"/>
    <w:qFormat/>
    <w:rPr>
      <w:rFonts w:cs="Noto Sans Symbols"/>
    </w:rPr>
  </w:style>
  <w:style w:type="character" w:customStyle="1" w:styleId="ListLabel215">
    <w:name w:val="ListLabel 215"/>
    <w:qFormat/>
    <w:rPr>
      <w:rFonts w:cs="Symbol"/>
    </w:rPr>
  </w:style>
  <w:style w:type="character" w:customStyle="1" w:styleId="ListLabel216">
    <w:name w:val="ListLabel 216"/>
    <w:qFormat/>
    <w:rPr>
      <w:rFonts w:cs="Courier New"/>
    </w:rPr>
  </w:style>
  <w:style w:type="character" w:customStyle="1" w:styleId="ListLabel217">
    <w:name w:val="ListLabel 217"/>
    <w:qFormat/>
    <w:rPr>
      <w:rFonts w:cs="Wingdings"/>
    </w:rPr>
  </w:style>
  <w:style w:type="character" w:customStyle="1" w:styleId="ListLabel218">
    <w:name w:val="ListLabel 218"/>
    <w:qFormat/>
    <w:rPr>
      <w:rFonts w:cs="Symbol"/>
    </w:rPr>
  </w:style>
  <w:style w:type="character" w:customStyle="1" w:styleId="ListLabel219">
    <w:name w:val="ListLabel 219"/>
    <w:qFormat/>
    <w:rPr>
      <w:rFonts w:cs="Courier New"/>
    </w:rPr>
  </w:style>
  <w:style w:type="character" w:customStyle="1" w:styleId="ListLabel220">
    <w:name w:val="ListLabel 220"/>
    <w:qFormat/>
    <w:rPr>
      <w:rFonts w:cs="Wingdings"/>
    </w:rPr>
  </w:style>
  <w:style w:type="character" w:customStyle="1" w:styleId="ListLabel221">
    <w:name w:val="ListLabel 221"/>
    <w:qFormat/>
    <w:rPr>
      <w:rFonts w:cs="Symbol"/>
    </w:rPr>
  </w:style>
  <w:style w:type="character" w:customStyle="1" w:styleId="ListLabel222">
    <w:name w:val="ListLabel 222"/>
    <w:qFormat/>
    <w:rPr>
      <w:rFonts w:cs="Courier New"/>
    </w:rPr>
  </w:style>
  <w:style w:type="character" w:customStyle="1" w:styleId="ListLabel223">
    <w:name w:val="ListLabel 223"/>
    <w:qFormat/>
    <w:rPr>
      <w:rFonts w:cs="Wingdings"/>
    </w:rPr>
  </w:style>
  <w:style w:type="character" w:customStyle="1" w:styleId="ListLabel224">
    <w:name w:val="ListLabel 224"/>
    <w:qFormat/>
    <w:rPr>
      <w:rFonts w:cs="OpenSymbol"/>
    </w:rPr>
  </w:style>
  <w:style w:type="character" w:customStyle="1" w:styleId="ListLabel225">
    <w:name w:val="ListLabel 225"/>
    <w:qFormat/>
    <w:rPr>
      <w:rFonts w:cs="OpenSymbol"/>
    </w:rPr>
  </w:style>
  <w:style w:type="character" w:customStyle="1" w:styleId="ListLabel226">
    <w:name w:val="ListLabel 226"/>
    <w:qFormat/>
    <w:rPr>
      <w:rFonts w:cs="OpenSymbol"/>
    </w:rPr>
  </w:style>
  <w:style w:type="character" w:customStyle="1" w:styleId="ListLabel227">
    <w:name w:val="ListLabel 227"/>
    <w:qFormat/>
    <w:rPr>
      <w:rFonts w:cs="OpenSymbol"/>
    </w:rPr>
  </w:style>
  <w:style w:type="character" w:customStyle="1" w:styleId="ListLabel228">
    <w:name w:val="ListLabel 228"/>
    <w:qFormat/>
    <w:rPr>
      <w:rFonts w:cs="OpenSymbol"/>
    </w:rPr>
  </w:style>
  <w:style w:type="character" w:customStyle="1" w:styleId="ListLabel229">
    <w:name w:val="ListLabel 229"/>
    <w:qFormat/>
    <w:rPr>
      <w:rFonts w:cs="OpenSymbol"/>
    </w:rPr>
  </w:style>
  <w:style w:type="character" w:customStyle="1" w:styleId="ListLabel230">
    <w:name w:val="ListLabel 230"/>
    <w:qFormat/>
    <w:rPr>
      <w:rFonts w:cs="OpenSymbol"/>
    </w:rPr>
  </w:style>
  <w:style w:type="character" w:customStyle="1" w:styleId="ListLabel231">
    <w:name w:val="ListLabel 231"/>
    <w:qFormat/>
    <w:rPr>
      <w:rFonts w:cs="OpenSymbol"/>
    </w:rPr>
  </w:style>
  <w:style w:type="character" w:customStyle="1" w:styleId="ListLabel232">
    <w:name w:val="ListLabel 232"/>
    <w:qFormat/>
    <w:rPr>
      <w:rFonts w:cs="OpenSymbol"/>
    </w:rPr>
  </w:style>
  <w:style w:type="character" w:customStyle="1" w:styleId="ListLabel233">
    <w:name w:val="ListLabel 233"/>
    <w:qFormat/>
    <w:rPr>
      <w:rFonts w:ascii="Liberation Sans" w:hAnsi="Liberation Sans"/>
      <w:b/>
      <w:i w:val="0"/>
      <w:color w:val="7030A0"/>
      <w:sz w:val="22"/>
    </w:rPr>
  </w:style>
  <w:style w:type="character" w:customStyle="1" w:styleId="ListLabel234">
    <w:name w:val="ListLabel 234"/>
    <w:qFormat/>
    <w:rPr>
      <w:sz w:val="20"/>
      <w:szCs w:val="20"/>
    </w:rPr>
  </w:style>
  <w:style w:type="character" w:customStyle="1" w:styleId="ListLabel235">
    <w:name w:val="ListLabel 235"/>
    <w:qFormat/>
    <w:rPr>
      <w:rFonts w:ascii="Liberation Sans" w:eastAsia="Liberation Sans" w:hAnsi="Liberation Sans" w:cs="Liberation Sans"/>
      <w:sz w:val="22"/>
      <w:szCs w:val="22"/>
    </w:rPr>
  </w:style>
  <w:style w:type="character" w:customStyle="1" w:styleId="ListLabel236">
    <w:name w:val="ListLabel 236"/>
    <w:qFormat/>
    <w:rPr>
      <w:rFonts w:eastAsia="Liberation Sans" w:cs="Liberation Sans"/>
    </w:rPr>
  </w:style>
  <w:style w:type="character" w:customStyle="1" w:styleId="ListLabel237">
    <w:name w:val="ListLabel 237"/>
    <w:qFormat/>
    <w:rPr>
      <w:rFonts w:eastAsia="Liberation Sans" w:cs="Liberation Sans"/>
      <w:b/>
      <w:bCs/>
    </w:rPr>
  </w:style>
  <w:style w:type="character" w:customStyle="1" w:styleId="ListLabel238">
    <w:name w:val="ListLabel 238"/>
    <w:qFormat/>
  </w:style>
  <w:style w:type="character" w:customStyle="1" w:styleId="ListLabel239">
    <w:name w:val="ListLabel 239"/>
    <w:qFormat/>
    <w:rPr>
      <w:rFonts w:ascii="Liberation Sans" w:eastAsia="Liberation Sans" w:hAnsi="Liberation Sans" w:cs="Liberation Sans"/>
      <w:b/>
      <w:sz w:val="22"/>
      <w:szCs w:val="22"/>
    </w:rPr>
  </w:style>
  <w:style w:type="character" w:customStyle="1" w:styleId="ListLabel240">
    <w:name w:val="ListLabel 240"/>
    <w:qFormat/>
    <w:rPr>
      <w:lang w:val="en-GB"/>
    </w:rPr>
  </w:style>
  <w:style w:type="character" w:customStyle="1" w:styleId="ListLabel241">
    <w:name w:val="ListLabel 241"/>
    <w:qFormat/>
    <w:rPr>
      <w:rFonts w:cs="Noto Sans Symbols"/>
    </w:rPr>
  </w:style>
  <w:style w:type="character" w:customStyle="1" w:styleId="ListLabel242">
    <w:name w:val="ListLabel 242"/>
    <w:qFormat/>
    <w:rPr>
      <w:rFonts w:cs="Noto Sans Symbols"/>
    </w:rPr>
  </w:style>
  <w:style w:type="character" w:customStyle="1" w:styleId="ListLabel243">
    <w:name w:val="ListLabel 243"/>
    <w:qFormat/>
    <w:rPr>
      <w:rFonts w:cs="Noto Sans Symbols"/>
    </w:rPr>
  </w:style>
  <w:style w:type="character" w:customStyle="1" w:styleId="ListLabel244">
    <w:name w:val="ListLabel 244"/>
    <w:qFormat/>
    <w:rPr>
      <w:rFonts w:cs="Noto Sans Symbols"/>
    </w:rPr>
  </w:style>
  <w:style w:type="character" w:customStyle="1" w:styleId="ListLabel245">
    <w:name w:val="ListLabel 245"/>
    <w:qFormat/>
    <w:rPr>
      <w:rFonts w:cs="Noto Sans Symbols"/>
    </w:rPr>
  </w:style>
  <w:style w:type="character" w:customStyle="1" w:styleId="ListLabel246">
    <w:name w:val="ListLabel 246"/>
    <w:qFormat/>
    <w:rPr>
      <w:rFonts w:cs="Noto Sans Symbols"/>
    </w:rPr>
  </w:style>
  <w:style w:type="character" w:customStyle="1" w:styleId="ListLabel247">
    <w:name w:val="ListLabel 247"/>
    <w:qFormat/>
    <w:rPr>
      <w:rFonts w:cs="Noto Sans Symbols"/>
    </w:rPr>
  </w:style>
  <w:style w:type="character" w:customStyle="1" w:styleId="ListLabel248">
    <w:name w:val="ListLabel 248"/>
    <w:qFormat/>
    <w:rPr>
      <w:rFonts w:cs="Noto Sans Symbols"/>
    </w:rPr>
  </w:style>
  <w:style w:type="character" w:customStyle="1" w:styleId="ListLabel249">
    <w:name w:val="ListLabel 249"/>
    <w:qFormat/>
    <w:rPr>
      <w:rFonts w:cs="Noto Sans Symbols"/>
    </w:rPr>
  </w:style>
  <w:style w:type="character" w:customStyle="1" w:styleId="ListLabel250">
    <w:name w:val="ListLabel 250"/>
    <w:qFormat/>
    <w:rPr>
      <w:rFonts w:cs="Symbol"/>
    </w:rPr>
  </w:style>
  <w:style w:type="character" w:customStyle="1" w:styleId="ListLabel251">
    <w:name w:val="ListLabel 251"/>
    <w:qFormat/>
    <w:rPr>
      <w:rFonts w:cs="Courier New"/>
    </w:rPr>
  </w:style>
  <w:style w:type="character" w:customStyle="1" w:styleId="ListLabel252">
    <w:name w:val="ListLabel 252"/>
    <w:qFormat/>
    <w:rPr>
      <w:rFonts w:cs="Wingdings"/>
    </w:rPr>
  </w:style>
  <w:style w:type="character" w:customStyle="1" w:styleId="ListLabel253">
    <w:name w:val="ListLabel 253"/>
    <w:qFormat/>
    <w:rPr>
      <w:rFonts w:cs="Symbol"/>
    </w:rPr>
  </w:style>
  <w:style w:type="character" w:customStyle="1" w:styleId="ListLabel254">
    <w:name w:val="ListLabel 254"/>
    <w:qFormat/>
    <w:rPr>
      <w:rFonts w:cs="Courier New"/>
    </w:rPr>
  </w:style>
  <w:style w:type="character" w:customStyle="1" w:styleId="ListLabel255">
    <w:name w:val="ListLabel 255"/>
    <w:qFormat/>
    <w:rPr>
      <w:rFonts w:cs="Wingdings"/>
    </w:rPr>
  </w:style>
  <w:style w:type="character" w:customStyle="1" w:styleId="ListLabel256">
    <w:name w:val="ListLabel 256"/>
    <w:qFormat/>
    <w:rPr>
      <w:rFonts w:cs="Symbol"/>
    </w:rPr>
  </w:style>
  <w:style w:type="character" w:customStyle="1" w:styleId="ListLabel257">
    <w:name w:val="ListLabel 257"/>
    <w:qFormat/>
    <w:rPr>
      <w:rFonts w:cs="Courier New"/>
    </w:rPr>
  </w:style>
  <w:style w:type="character" w:customStyle="1" w:styleId="ListLabel258">
    <w:name w:val="ListLabel 258"/>
    <w:qFormat/>
    <w:rPr>
      <w:rFonts w:cs="Wingdings"/>
    </w:rPr>
  </w:style>
  <w:style w:type="character" w:customStyle="1" w:styleId="ListLabel259">
    <w:name w:val="ListLabel 259"/>
    <w:qFormat/>
    <w:rPr>
      <w:rFonts w:cs="OpenSymbol"/>
    </w:rPr>
  </w:style>
  <w:style w:type="character" w:customStyle="1" w:styleId="ListLabel260">
    <w:name w:val="ListLabel 260"/>
    <w:qFormat/>
    <w:rPr>
      <w:rFonts w:cs="OpenSymbol"/>
    </w:rPr>
  </w:style>
  <w:style w:type="character" w:customStyle="1" w:styleId="ListLabel261">
    <w:name w:val="ListLabel 261"/>
    <w:qFormat/>
    <w:rPr>
      <w:rFonts w:cs="OpenSymbol"/>
    </w:rPr>
  </w:style>
  <w:style w:type="character" w:customStyle="1" w:styleId="ListLabel262">
    <w:name w:val="ListLabel 262"/>
    <w:qFormat/>
    <w:rPr>
      <w:rFonts w:cs="OpenSymbol"/>
    </w:rPr>
  </w:style>
  <w:style w:type="character" w:customStyle="1" w:styleId="ListLabel263">
    <w:name w:val="ListLabel 263"/>
    <w:qFormat/>
    <w:rPr>
      <w:rFonts w:cs="OpenSymbol"/>
    </w:rPr>
  </w:style>
  <w:style w:type="character" w:customStyle="1" w:styleId="ListLabel264">
    <w:name w:val="ListLabel 264"/>
    <w:qFormat/>
    <w:rPr>
      <w:rFonts w:cs="OpenSymbol"/>
    </w:rPr>
  </w:style>
  <w:style w:type="character" w:customStyle="1" w:styleId="ListLabel265">
    <w:name w:val="ListLabel 265"/>
    <w:qFormat/>
    <w:rPr>
      <w:rFonts w:cs="OpenSymbol"/>
    </w:rPr>
  </w:style>
  <w:style w:type="character" w:customStyle="1" w:styleId="ListLabel266">
    <w:name w:val="ListLabel 266"/>
    <w:qFormat/>
    <w:rPr>
      <w:rFonts w:cs="OpenSymbol"/>
    </w:rPr>
  </w:style>
  <w:style w:type="character" w:customStyle="1" w:styleId="ListLabel267">
    <w:name w:val="ListLabel 267"/>
    <w:qFormat/>
    <w:rPr>
      <w:rFonts w:cs="OpenSymbol"/>
    </w:rPr>
  </w:style>
  <w:style w:type="character" w:customStyle="1" w:styleId="ListLabel268">
    <w:name w:val="ListLabel 268"/>
    <w:qFormat/>
    <w:rPr>
      <w:rFonts w:ascii="Liberation Sans" w:hAnsi="Liberation Sans"/>
      <w:b/>
      <w:i w:val="0"/>
      <w:color w:val="7030A0"/>
      <w:sz w:val="22"/>
    </w:rPr>
  </w:style>
  <w:style w:type="character" w:customStyle="1" w:styleId="ListLabel269">
    <w:name w:val="ListLabel 269"/>
    <w:qFormat/>
    <w:rPr>
      <w:sz w:val="20"/>
      <w:szCs w:val="20"/>
    </w:rPr>
  </w:style>
  <w:style w:type="character" w:customStyle="1" w:styleId="ListLabel270">
    <w:name w:val="ListLabel 270"/>
    <w:qFormat/>
    <w:rPr>
      <w:rFonts w:ascii="Liberation Sans" w:eastAsia="Liberation Sans" w:hAnsi="Liberation Sans" w:cs="Liberation Sans"/>
      <w:sz w:val="22"/>
      <w:szCs w:val="22"/>
    </w:rPr>
  </w:style>
  <w:style w:type="character" w:customStyle="1" w:styleId="ListLabel271">
    <w:name w:val="ListLabel 271"/>
    <w:qFormat/>
    <w:rPr>
      <w:rFonts w:eastAsia="Liberation Sans" w:cs="Liberation Sans"/>
    </w:rPr>
  </w:style>
  <w:style w:type="character" w:customStyle="1" w:styleId="ListLabel272">
    <w:name w:val="ListLabel 272"/>
    <w:qFormat/>
    <w:rPr>
      <w:rFonts w:eastAsia="Liberation Sans" w:cs="Liberation Sans"/>
      <w:b/>
      <w:bCs/>
    </w:rPr>
  </w:style>
  <w:style w:type="character" w:customStyle="1" w:styleId="ListLabel273">
    <w:name w:val="ListLabel 273"/>
    <w:qFormat/>
  </w:style>
  <w:style w:type="character" w:customStyle="1" w:styleId="ListLabel274">
    <w:name w:val="ListLabel 274"/>
    <w:qFormat/>
    <w:rPr>
      <w:rFonts w:eastAsia="Liberation Sans" w:cs="Liberation Sans"/>
      <w:color w:val="000000"/>
    </w:rPr>
  </w:style>
  <w:style w:type="character" w:customStyle="1" w:styleId="ListLabel275">
    <w:name w:val="ListLabel 275"/>
    <w:qFormat/>
    <w:rPr>
      <w:rFonts w:ascii="Liberation Sans" w:eastAsia="Liberation Sans" w:hAnsi="Liberation Sans" w:cs="Liberation Sans"/>
      <w:b/>
      <w:sz w:val="22"/>
      <w:szCs w:val="22"/>
    </w:rPr>
  </w:style>
  <w:style w:type="character" w:customStyle="1" w:styleId="ListLabel276">
    <w:name w:val="ListLabel 276"/>
    <w:qFormat/>
    <w:rPr>
      <w:lang w:val="en-GB"/>
    </w:rPr>
  </w:style>
  <w:style w:type="character" w:customStyle="1" w:styleId="ListLabel277">
    <w:name w:val="ListLabel 277"/>
    <w:qFormat/>
    <w:rPr>
      <w:rFonts w:cs="Noto Sans Symbols"/>
    </w:rPr>
  </w:style>
  <w:style w:type="character" w:customStyle="1" w:styleId="ListLabel278">
    <w:name w:val="ListLabel 278"/>
    <w:qFormat/>
    <w:rPr>
      <w:rFonts w:cs="Noto Sans Symbols"/>
    </w:rPr>
  </w:style>
  <w:style w:type="character" w:customStyle="1" w:styleId="ListLabel279">
    <w:name w:val="ListLabel 279"/>
    <w:qFormat/>
    <w:rPr>
      <w:rFonts w:cs="Noto Sans Symbols"/>
    </w:rPr>
  </w:style>
  <w:style w:type="character" w:customStyle="1" w:styleId="ListLabel280">
    <w:name w:val="ListLabel 280"/>
    <w:qFormat/>
    <w:rPr>
      <w:rFonts w:cs="Noto Sans Symbols"/>
    </w:rPr>
  </w:style>
  <w:style w:type="character" w:customStyle="1" w:styleId="ListLabel281">
    <w:name w:val="ListLabel 281"/>
    <w:qFormat/>
    <w:rPr>
      <w:rFonts w:cs="Noto Sans Symbols"/>
    </w:rPr>
  </w:style>
  <w:style w:type="character" w:customStyle="1" w:styleId="ListLabel282">
    <w:name w:val="ListLabel 282"/>
    <w:qFormat/>
    <w:rPr>
      <w:rFonts w:cs="Noto Sans Symbols"/>
    </w:rPr>
  </w:style>
  <w:style w:type="character" w:customStyle="1" w:styleId="ListLabel283">
    <w:name w:val="ListLabel 283"/>
    <w:qFormat/>
    <w:rPr>
      <w:rFonts w:cs="Noto Sans Symbols"/>
    </w:rPr>
  </w:style>
  <w:style w:type="character" w:customStyle="1" w:styleId="ListLabel284">
    <w:name w:val="ListLabel 284"/>
    <w:qFormat/>
    <w:rPr>
      <w:rFonts w:cs="Noto Sans Symbols"/>
    </w:rPr>
  </w:style>
  <w:style w:type="character" w:customStyle="1" w:styleId="ListLabel285">
    <w:name w:val="ListLabel 285"/>
    <w:qFormat/>
    <w:rPr>
      <w:rFonts w:cs="Noto Sans Symbols"/>
    </w:rPr>
  </w:style>
  <w:style w:type="character" w:customStyle="1" w:styleId="ListLabel286">
    <w:name w:val="ListLabel 286"/>
    <w:qFormat/>
    <w:rPr>
      <w:rFonts w:cs="Symbol"/>
    </w:rPr>
  </w:style>
  <w:style w:type="character" w:customStyle="1" w:styleId="ListLabel287">
    <w:name w:val="ListLabel 287"/>
    <w:qFormat/>
    <w:rPr>
      <w:rFonts w:cs="Courier New"/>
    </w:rPr>
  </w:style>
  <w:style w:type="character" w:customStyle="1" w:styleId="ListLabel288">
    <w:name w:val="ListLabel 288"/>
    <w:qFormat/>
    <w:rPr>
      <w:rFonts w:cs="Wingdings"/>
    </w:rPr>
  </w:style>
  <w:style w:type="character" w:customStyle="1" w:styleId="ListLabel289">
    <w:name w:val="ListLabel 289"/>
    <w:qFormat/>
    <w:rPr>
      <w:rFonts w:cs="Symbol"/>
    </w:rPr>
  </w:style>
  <w:style w:type="character" w:customStyle="1" w:styleId="ListLabel290">
    <w:name w:val="ListLabel 290"/>
    <w:qFormat/>
    <w:rPr>
      <w:rFonts w:cs="Courier New"/>
    </w:rPr>
  </w:style>
  <w:style w:type="character" w:customStyle="1" w:styleId="ListLabel291">
    <w:name w:val="ListLabel 291"/>
    <w:qFormat/>
    <w:rPr>
      <w:rFonts w:cs="Wingdings"/>
    </w:rPr>
  </w:style>
  <w:style w:type="character" w:customStyle="1" w:styleId="ListLabel292">
    <w:name w:val="ListLabel 292"/>
    <w:qFormat/>
    <w:rPr>
      <w:rFonts w:cs="Symbol"/>
    </w:rPr>
  </w:style>
  <w:style w:type="character" w:customStyle="1" w:styleId="ListLabel293">
    <w:name w:val="ListLabel 293"/>
    <w:qFormat/>
    <w:rPr>
      <w:rFonts w:cs="Courier New"/>
    </w:rPr>
  </w:style>
  <w:style w:type="character" w:customStyle="1" w:styleId="ListLabel294">
    <w:name w:val="ListLabel 294"/>
    <w:qFormat/>
    <w:rPr>
      <w:rFonts w:cs="Wingdings"/>
    </w:rPr>
  </w:style>
  <w:style w:type="character" w:customStyle="1" w:styleId="ListLabel295">
    <w:name w:val="ListLabel 295"/>
    <w:qFormat/>
    <w:rPr>
      <w:rFonts w:cs="OpenSymbol"/>
    </w:rPr>
  </w:style>
  <w:style w:type="character" w:customStyle="1" w:styleId="ListLabel296">
    <w:name w:val="ListLabel 296"/>
    <w:qFormat/>
    <w:rPr>
      <w:rFonts w:cs="OpenSymbol"/>
    </w:rPr>
  </w:style>
  <w:style w:type="character" w:customStyle="1" w:styleId="ListLabel297">
    <w:name w:val="ListLabel 297"/>
    <w:qFormat/>
    <w:rPr>
      <w:rFonts w:cs="OpenSymbol"/>
    </w:rPr>
  </w:style>
  <w:style w:type="character" w:customStyle="1" w:styleId="ListLabel298">
    <w:name w:val="ListLabel 298"/>
    <w:qFormat/>
    <w:rPr>
      <w:rFonts w:cs="OpenSymbol"/>
    </w:rPr>
  </w:style>
  <w:style w:type="character" w:customStyle="1" w:styleId="ListLabel299">
    <w:name w:val="ListLabel 299"/>
    <w:qFormat/>
    <w:rPr>
      <w:rFonts w:cs="OpenSymbol"/>
    </w:rPr>
  </w:style>
  <w:style w:type="character" w:customStyle="1" w:styleId="ListLabel300">
    <w:name w:val="ListLabel 300"/>
    <w:qFormat/>
    <w:rPr>
      <w:rFonts w:cs="OpenSymbol"/>
    </w:rPr>
  </w:style>
  <w:style w:type="character" w:customStyle="1" w:styleId="ListLabel301">
    <w:name w:val="ListLabel 301"/>
    <w:qFormat/>
    <w:rPr>
      <w:rFonts w:cs="OpenSymbol"/>
    </w:rPr>
  </w:style>
  <w:style w:type="character" w:customStyle="1" w:styleId="ListLabel302">
    <w:name w:val="ListLabel 302"/>
    <w:qFormat/>
    <w:rPr>
      <w:rFonts w:cs="OpenSymbol"/>
    </w:rPr>
  </w:style>
  <w:style w:type="character" w:customStyle="1" w:styleId="ListLabel303">
    <w:name w:val="ListLabel 303"/>
    <w:qFormat/>
    <w:rPr>
      <w:rFonts w:cs="OpenSymbol"/>
    </w:rPr>
  </w:style>
  <w:style w:type="character" w:customStyle="1" w:styleId="ListLabel304">
    <w:name w:val="ListLabel 304"/>
    <w:qFormat/>
    <w:rPr>
      <w:rFonts w:ascii="Liberation Sans" w:hAnsi="Liberation Sans"/>
      <w:b/>
      <w:i w:val="0"/>
      <w:color w:val="7030A0"/>
      <w:sz w:val="22"/>
    </w:rPr>
  </w:style>
  <w:style w:type="character" w:customStyle="1" w:styleId="ListLabel305">
    <w:name w:val="ListLabel 305"/>
    <w:qFormat/>
    <w:rPr>
      <w:sz w:val="20"/>
      <w:szCs w:val="20"/>
    </w:rPr>
  </w:style>
  <w:style w:type="character" w:customStyle="1" w:styleId="ListLabel306">
    <w:name w:val="ListLabel 306"/>
    <w:qFormat/>
    <w:rPr>
      <w:rFonts w:ascii="Liberation Sans" w:eastAsia="Liberation Sans" w:hAnsi="Liberation Sans" w:cs="Liberation Sans"/>
      <w:sz w:val="22"/>
      <w:szCs w:val="22"/>
    </w:rPr>
  </w:style>
  <w:style w:type="character" w:customStyle="1" w:styleId="ListLabel307">
    <w:name w:val="ListLabel 307"/>
    <w:qFormat/>
    <w:rPr>
      <w:rFonts w:eastAsia="Liberation Sans" w:cs="Liberation Sans"/>
    </w:rPr>
  </w:style>
  <w:style w:type="character" w:customStyle="1" w:styleId="ListLabel308">
    <w:name w:val="ListLabel 308"/>
    <w:qFormat/>
    <w:rPr>
      <w:rFonts w:eastAsia="Liberation Sans" w:cs="Liberation Sans"/>
      <w:b/>
      <w:bCs/>
    </w:rPr>
  </w:style>
  <w:style w:type="character" w:customStyle="1" w:styleId="ListLabel309">
    <w:name w:val="ListLabel 309"/>
    <w:qFormat/>
  </w:style>
  <w:style w:type="character" w:customStyle="1" w:styleId="ListLabel310">
    <w:name w:val="ListLabel 310"/>
    <w:qFormat/>
    <w:rPr>
      <w:rFonts w:eastAsia="Liberation Sans" w:cs="Liberation Sans"/>
      <w:color w:val="000000"/>
    </w:rPr>
  </w:style>
  <w:style w:type="character" w:customStyle="1" w:styleId="ListLabel311">
    <w:name w:val="ListLabel 311"/>
    <w:qFormat/>
    <w:rPr>
      <w:rFonts w:ascii="Liberation Sans" w:eastAsia="Liberation Sans" w:hAnsi="Liberation Sans" w:cs="Liberation Sans"/>
      <w:b/>
      <w:sz w:val="22"/>
      <w:szCs w:val="22"/>
    </w:rPr>
  </w:style>
  <w:style w:type="character" w:customStyle="1" w:styleId="ListLabel312">
    <w:name w:val="ListLabel 312"/>
    <w:qFormat/>
    <w:rPr>
      <w:lang w:val="en-GB"/>
    </w:rPr>
  </w:style>
  <w:style w:type="character" w:customStyle="1" w:styleId="ListLabel313">
    <w:name w:val="ListLabel 313"/>
    <w:qFormat/>
    <w:rPr>
      <w:rFonts w:cs="Noto Sans Symbols"/>
    </w:rPr>
  </w:style>
  <w:style w:type="character" w:customStyle="1" w:styleId="ListLabel314">
    <w:name w:val="ListLabel 314"/>
    <w:qFormat/>
    <w:rPr>
      <w:rFonts w:cs="Noto Sans Symbols"/>
    </w:rPr>
  </w:style>
  <w:style w:type="character" w:customStyle="1" w:styleId="ListLabel315">
    <w:name w:val="ListLabel 315"/>
    <w:qFormat/>
    <w:rPr>
      <w:rFonts w:cs="Noto Sans Symbols"/>
    </w:rPr>
  </w:style>
  <w:style w:type="character" w:customStyle="1" w:styleId="ListLabel316">
    <w:name w:val="ListLabel 316"/>
    <w:qFormat/>
    <w:rPr>
      <w:rFonts w:cs="Noto Sans Symbols"/>
    </w:rPr>
  </w:style>
  <w:style w:type="character" w:customStyle="1" w:styleId="ListLabel317">
    <w:name w:val="ListLabel 317"/>
    <w:qFormat/>
    <w:rPr>
      <w:rFonts w:cs="Noto Sans Symbols"/>
    </w:rPr>
  </w:style>
  <w:style w:type="character" w:customStyle="1" w:styleId="ListLabel318">
    <w:name w:val="ListLabel 318"/>
    <w:qFormat/>
    <w:rPr>
      <w:rFonts w:cs="Noto Sans Symbols"/>
    </w:rPr>
  </w:style>
  <w:style w:type="character" w:customStyle="1" w:styleId="ListLabel319">
    <w:name w:val="ListLabel 319"/>
    <w:qFormat/>
    <w:rPr>
      <w:rFonts w:cs="Noto Sans Symbols"/>
    </w:rPr>
  </w:style>
  <w:style w:type="character" w:customStyle="1" w:styleId="ListLabel320">
    <w:name w:val="ListLabel 320"/>
    <w:qFormat/>
    <w:rPr>
      <w:rFonts w:cs="Noto Sans Symbols"/>
    </w:rPr>
  </w:style>
  <w:style w:type="character" w:customStyle="1" w:styleId="ListLabel321">
    <w:name w:val="ListLabel 321"/>
    <w:qFormat/>
    <w:rPr>
      <w:rFonts w:cs="Noto Sans Symbols"/>
    </w:rPr>
  </w:style>
  <w:style w:type="character" w:customStyle="1" w:styleId="ListLabel322">
    <w:name w:val="ListLabel 322"/>
    <w:qFormat/>
    <w:rPr>
      <w:rFonts w:cs="Symbol"/>
    </w:rPr>
  </w:style>
  <w:style w:type="character" w:customStyle="1" w:styleId="ListLabel323">
    <w:name w:val="ListLabel 323"/>
    <w:qFormat/>
    <w:rPr>
      <w:rFonts w:cs="Courier New"/>
    </w:rPr>
  </w:style>
  <w:style w:type="character" w:customStyle="1" w:styleId="ListLabel324">
    <w:name w:val="ListLabel 324"/>
    <w:qFormat/>
    <w:rPr>
      <w:rFonts w:cs="Wingdings"/>
    </w:rPr>
  </w:style>
  <w:style w:type="character" w:customStyle="1" w:styleId="ListLabel325">
    <w:name w:val="ListLabel 325"/>
    <w:qFormat/>
    <w:rPr>
      <w:rFonts w:cs="Symbol"/>
    </w:rPr>
  </w:style>
  <w:style w:type="character" w:customStyle="1" w:styleId="ListLabel326">
    <w:name w:val="ListLabel 326"/>
    <w:qFormat/>
    <w:rPr>
      <w:rFonts w:cs="Courier New"/>
    </w:rPr>
  </w:style>
  <w:style w:type="character" w:customStyle="1" w:styleId="ListLabel327">
    <w:name w:val="ListLabel 327"/>
    <w:qFormat/>
    <w:rPr>
      <w:rFonts w:cs="Wingdings"/>
    </w:rPr>
  </w:style>
  <w:style w:type="character" w:customStyle="1" w:styleId="ListLabel328">
    <w:name w:val="ListLabel 328"/>
    <w:qFormat/>
    <w:rPr>
      <w:rFonts w:cs="Symbol"/>
    </w:rPr>
  </w:style>
  <w:style w:type="character" w:customStyle="1" w:styleId="ListLabel329">
    <w:name w:val="ListLabel 329"/>
    <w:qFormat/>
    <w:rPr>
      <w:rFonts w:cs="Courier New"/>
    </w:rPr>
  </w:style>
  <w:style w:type="character" w:customStyle="1" w:styleId="ListLabel330">
    <w:name w:val="ListLabel 330"/>
    <w:qFormat/>
    <w:rPr>
      <w:rFonts w:cs="Wingdings"/>
    </w:rPr>
  </w:style>
  <w:style w:type="character" w:customStyle="1" w:styleId="ListLabel331">
    <w:name w:val="ListLabel 331"/>
    <w:qFormat/>
    <w:rPr>
      <w:rFonts w:cs="OpenSymbol"/>
    </w:rPr>
  </w:style>
  <w:style w:type="character" w:customStyle="1" w:styleId="ListLabel332">
    <w:name w:val="ListLabel 332"/>
    <w:qFormat/>
    <w:rPr>
      <w:rFonts w:cs="OpenSymbol"/>
    </w:rPr>
  </w:style>
  <w:style w:type="character" w:customStyle="1" w:styleId="ListLabel333">
    <w:name w:val="ListLabel 333"/>
    <w:qFormat/>
    <w:rPr>
      <w:rFonts w:cs="OpenSymbol"/>
    </w:rPr>
  </w:style>
  <w:style w:type="character" w:customStyle="1" w:styleId="ListLabel334">
    <w:name w:val="ListLabel 334"/>
    <w:qFormat/>
    <w:rPr>
      <w:rFonts w:cs="OpenSymbol"/>
    </w:rPr>
  </w:style>
  <w:style w:type="character" w:customStyle="1" w:styleId="ListLabel335">
    <w:name w:val="ListLabel 335"/>
    <w:qFormat/>
    <w:rPr>
      <w:rFonts w:cs="OpenSymbol"/>
    </w:rPr>
  </w:style>
  <w:style w:type="character" w:customStyle="1" w:styleId="ListLabel336">
    <w:name w:val="ListLabel 336"/>
    <w:qFormat/>
    <w:rPr>
      <w:rFonts w:cs="OpenSymbol"/>
    </w:rPr>
  </w:style>
  <w:style w:type="character" w:customStyle="1" w:styleId="ListLabel337">
    <w:name w:val="ListLabel 337"/>
    <w:qFormat/>
    <w:rPr>
      <w:rFonts w:cs="OpenSymbol"/>
    </w:rPr>
  </w:style>
  <w:style w:type="character" w:customStyle="1" w:styleId="ListLabel338">
    <w:name w:val="ListLabel 338"/>
    <w:qFormat/>
    <w:rPr>
      <w:rFonts w:cs="OpenSymbol"/>
    </w:rPr>
  </w:style>
  <w:style w:type="character" w:customStyle="1" w:styleId="ListLabel339">
    <w:name w:val="ListLabel 339"/>
    <w:qFormat/>
    <w:rPr>
      <w:rFonts w:cs="OpenSymbol"/>
    </w:rPr>
  </w:style>
  <w:style w:type="character" w:customStyle="1" w:styleId="ListLabel340">
    <w:name w:val="ListLabel 340"/>
    <w:qFormat/>
    <w:rPr>
      <w:rFonts w:ascii="Liberation Sans" w:hAnsi="Liberation Sans"/>
      <w:b/>
      <w:i w:val="0"/>
      <w:color w:val="7030A0"/>
      <w:sz w:val="22"/>
    </w:rPr>
  </w:style>
  <w:style w:type="character" w:customStyle="1" w:styleId="ListLabel341">
    <w:name w:val="ListLabel 341"/>
    <w:qFormat/>
    <w:rPr>
      <w:sz w:val="20"/>
      <w:szCs w:val="20"/>
    </w:rPr>
  </w:style>
  <w:style w:type="character" w:customStyle="1" w:styleId="ListLabel342">
    <w:name w:val="ListLabel 342"/>
    <w:qFormat/>
    <w:rPr>
      <w:rFonts w:ascii="Liberation Sans" w:eastAsia="Liberation Sans" w:hAnsi="Liberation Sans" w:cs="Liberation Sans"/>
      <w:sz w:val="22"/>
      <w:szCs w:val="22"/>
    </w:rPr>
  </w:style>
  <w:style w:type="character" w:customStyle="1" w:styleId="ListLabel343">
    <w:name w:val="ListLabel 343"/>
    <w:qFormat/>
    <w:rPr>
      <w:rFonts w:eastAsia="Liberation Sans" w:cs="Liberation Sans"/>
    </w:rPr>
  </w:style>
  <w:style w:type="character" w:customStyle="1" w:styleId="ListLabel344">
    <w:name w:val="ListLabel 344"/>
    <w:qFormat/>
    <w:rPr>
      <w:rFonts w:eastAsia="Liberation Sans" w:cs="Liberation Sans"/>
      <w:b/>
      <w:bCs/>
    </w:rPr>
  </w:style>
  <w:style w:type="character" w:customStyle="1" w:styleId="ListLabel345">
    <w:name w:val="ListLabel 345"/>
    <w:qFormat/>
  </w:style>
  <w:style w:type="character" w:customStyle="1" w:styleId="ListLabel346">
    <w:name w:val="ListLabel 346"/>
    <w:qFormat/>
    <w:rPr>
      <w:rFonts w:eastAsia="Liberation Sans" w:cs="Liberation Sans"/>
      <w:color w:val="000000"/>
    </w:rPr>
  </w:style>
  <w:style w:type="character" w:customStyle="1" w:styleId="ListLabel347">
    <w:name w:val="ListLabel 347"/>
    <w:qFormat/>
    <w:rPr>
      <w:rFonts w:ascii="Liberation Sans" w:eastAsia="Liberation Sans" w:hAnsi="Liberation Sans" w:cs="Liberation Sans"/>
      <w:b/>
      <w:sz w:val="22"/>
      <w:szCs w:val="22"/>
    </w:rPr>
  </w:style>
  <w:style w:type="character" w:customStyle="1" w:styleId="ListLabel348">
    <w:name w:val="ListLabel 348"/>
    <w:qFormat/>
    <w:rPr>
      <w:rFonts w:ascii="Liberation Sans" w:eastAsia="Liberation Sans" w:hAnsi="Liberation Sans" w:cs="Liberation Sans"/>
      <w:color w:val="000000"/>
      <w:sz w:val="22"/>
      <w:szCs w:val="22"/>
    </w:rPr>
  </w:style>
  <w:style w:type="character" w:customStyle="1" w:styleId="ListLabel349">
    <w:name w:val="ListLabel 349"/>
    <w:qFormat/>
    <w:rPr>
      <w:rFonts w:ascii="Liberation Serif" w:eastAsia="DejaVu Sans" w:hAnsi="Liberation Serif" w:cs="DejaVu Sans"/>
      <w:color w:val="auto"/>
      <w:sz w:val="20"/>
      <w:lang w:val="es-ES_tradnl" w:eastAsia="en-US" w:bidi="ar-SA"/>
    </w:rPr>
  </w:style>
  <w:style w:type="character" w:customStyle="1" w:styleId="ListLabel350">
    <w:name w:val="ListLabel 350"/>
    <w:qFormat/>
    <w:rPr>
      <w:lang w:val="en-GB"/>
    </w:rPr>
  </w:style>
  <w:style w:type="character" w:customStyle="1" w:styleId="Mencinsinresolver3">
    <w:name w:val="Mención sin resolver3"/>
    <w:basedOn w:val="Fuentedeprrafopredeter"/>
    <w:uiPriority w:val="99"/>
    <w:semiHidden/>
    <w:unhideWhenUsed/>
    <w:qFormat/>
    <w:rsid w:val="00923DAA"/>
    <w:rPr>
      <w:color w:val="605E5C"/>
      <w:shd w:val="clear" w:color="auto" w:fill="E1DFDD"/>
    </w:rPr>
  </w:style>
  <w:style w:type="character" w:customStyle="1" w:styleId="ListLabel351">
    <w:name w:val="ListLabel 351"/>
    <w:qFormat/>
    <w:rPr>
      <w:rFonts w:cs="Noto Sans Symbols"/>
    </w:rPr>
  </w:style>
  <w:style w:type="character" w:customStyle="1" w:styleId="ListLabel352">
    <w:name w:val="ListLabel 352"/>
    <w:qFormat/>
    <w:rPr>
      <w:rFonts w:cs="Noto Sans Symbols"/>
    </w:rPr>
  </w:style>
  <w:style w:type="character" w:customStyle="1" w:styleId="ListLabel353">
    <w:name w:val="ListLabel 353"/>
    <w:qFormat/>
    <w:rPr>
      <w:rFonts w:cs="Noto Sans Symbols"/>
    </w:rPr>
  </w:style>
  <w:style w:type="character" w:customStyle="1" w:styleId="ListLabel354">
    <w:name w:val="ListLabel 354"/>
    <w:qFormat/>
    <w:rPr>
      <w:rFonts w:cs="Noto Sans Symbols"/>
    </w:rPr>
  </w:style>
  <w:style w:type="character" w:customStyle="1" w:styleId="ListLabel355">
    <w:name w:val="ListLabel 355"/>
    <w:qFormat/>
    <w:rPr>
      <w:rFonts w:cs="Noto Sans Symbols"/>
    </w:rPr>
  </w:style>
  <w:style w:type="character" w:customStyle="1" w:styleId="ListLabel356">
    <w:name w:val="ListLabel 356"/>
    <w:qFormat/>
    <w:rPr>
      <w:rFonts w:cs="Noto Sans Symbols"/>
    </w:rPr>
  </w:style>
  <w:style w:type="character" w:customStyle="1" w:styleId="ListLabel357">
    <w:name w:val="ListLabel 357"/>
    <w:qFormat/>
    <w:rPr>
      <w:rFonts w:cs="Noto Sans Symbols"/>
    </w:rPr>
  </w:style>
  <w:style w:type="character" w:customStyle="1" w:styleId="ListLabel358">
    <w:name w:val="ListLabel 358"/>
    <w:qFormat/>
    <w:rPr>
      <w:rFonts w:cs="Noto Sans Symbols"/>
    </w:rPr>
  </w:style>
  <w:style w:type="character" w:customStyle="1" w:styleId="ListLabel359">
    <w:name w:val="ListLabel 359"/>
    <w:qFormat/>
    <w:rPr>
      <w:rFonts w:cs="Noto Sans Symbols"/>
    </w:rPr>
  </w:style>
  <w:style w:type="character" w:customStyle="1" w:styleId="ListLabel360">
    <w:name w:val="ListLabel 360"/>
    <w:qFormat/>
    <w:rPr>
      <w:rFonts w:cs="Symbol"/>
    </w:rPr>
  </w:style>
  <w:style w:type="character" w:customStyle="1" w:styleId="ListLabel361">
    <w:name w:val="ListLabel 361"/>
    <w:qFormat/>
    <w:rPr>
      <w:rFonts w:cs="Courier New"/>
    </w:rPr>
  </w:style>
  <w:style w:type="character" w:customStyle="1" w:styleId="ListLabel362">
    <w:name w:val="ListLabel 362"/>
    <w:qFormat/>
    <w:rPr>
      <w:rFonts w:cs="Wingdings"/>
    </w:rPr>
  </w:style>
  <w:style w:type="character" w:customStyle="1" w:styleId="ListLabel363">
    <w:name w:val="ListLabel 363"/>
    <w:qFormat/>
    <w:rPr>
      <w:rFonts w:cs="Symbol"/>
    </w:rPr>
  </w:style>
  <w:style w:type="character" w:customStyle="1" w:styleId="ListLabel364">
    <w:name w:val="ListLabel 364"/>
    <w:qFormat/>
    <w:rPr>
      <w:rFonts w:cs="Courier New"/>
    </w:rPr>
  </w:style>
  <w:style w:type="character" w:customStyle="1" w:styleId="ListLabel365">
    <w:name w:val="ListLabel 365"/>
    <w:qFormat/>
    <w:rPr>
      <w:rFonts w:cs="Wingdings"/>
    </w:rPr>
  </w:style>
  <w:style w:type="character" w:customStyle="1" w:styleId="ListLabel366">
    <w:name w:val="ListLabel 366"/>
    <w:qFormat/>
    <w:rPr>
      <w:rFonts w:cs="Symbol"/>
    </w:rPr>
  </w:style>
  <w:style w:type="character" w:customStyle="1" w:styleId="ListLabel367">
    <w:name w:val="ListLabel 367"/>
    <w:qFormat/>
    <w:rPr>
      <w:rFonts w:cs="Courier New"/>
    </w:rPr>
  </w:style>
  <w:style w:type="character" w:customStyle="1" w:styleId="ListLabel368">
    <w:name w:val="ListLabel 368"/>
    <w:qFormat/>
    <w:rPr>
      <w:rFonts w:cs="Wingdings"/>
    </w:rPr>
  </w:style>
  <w:style w:type="character" w:customStyle="1" w:styleId="ListLabel369">
    <w:name w:val="ListLabel 369"/>
    <w:qFormat/>
    <w:rPr>
      <w:rFonts w:cs="OpenSymbol"/>
    </w:rPr>
  </w:style>
  <w:style w:type="character" w:customStyle="1" w:styleId="ListLabel370">
    <w:name w:val="ListLabel 370"/>
    <w:qFormat/>
    <w:rPr>
      <w:rFonts w:cs="OpenSymbol"/>
    </w:rPr>
  </w:style>
  <w:style w:type="character" w:customStyle="1" w:styleId="ListLabel371">
    <w:name w:val="ListLabel 371"/>
    <w:qFormat/>
    <w:rPr>
      <w:rFonts w:cs="OpenSymbol"/>
    </w:rPr>
  </w:style>
  <w:style w:type="character" w:customStyle="1" w:styleId="ListLabel372">
    <w:name w:val="ListLabel 372"/>
    <w:qFormat/>
    <w:rPr>
      <w:rFonts w:cs="OpenSymbol"/>
    </w:rPr>
  </w:style>
  <w:style w:type="character" w:customStyle="1" w:styleId="ListLabel373">
    <w:name w:val="ListLabel 373"/>
    <w:qFormat/>
    <w:rPr>
      <w:rFonts w:cs="OpenSymbol"/>
    </w:rPr>
  </w:style>
  <w:style w:type="character" w:customStyle="1" w:styleId="ListLabel374">
    <w:name w:val="ListLabel 374"/>
    <w:qFormat/>
    <w:rPr>
      <w:rFonts w:cs="OpenSymbol"/>
    </w:rPr>
  </w:style>
  <w:style w:type="character" w:customStyle="1" w:styleId="ListLabel375">
    <w:name w:val="ListLabel 375"/>
    <w:qFormat/>
    <w:rPr>
      <w:rFonts w:cs="OpenSymbol"/>
    </w:rPr>
  </w:style>
  <w:style w:type="character" w:customStyle="1" w:styleId="ListLabel376">
    <w:name w:val="ListLabel 376"/>
    <w:qFormat/>
    <w:rPr>
      <w:rFonts w:cs="OpenSymbol"/>
    </w:rPr>
  </w:style>
  <w:style w:type="character" w:customStyle="1" w:styleId="ListLabel377">
    <w:name w:val="ListLabel 377"/>
    <w:qFormat/>
    <w:rPr>
      <w:rFonts w:cs="OpenSymbol"/>
    </w:rPr>
  </w:style>
  <w:style w:type="character" w:customStyle="1" w:styleId="ListLabel378">
    <w:name w:val="ListLabel 378"/>
    <w:qFormat/>
    <w:rPr>
      <w:rFonts w:ascii="Liberation Sans" w:hAnsi="Liberation Sans"/>
      <w:b/>
      <w:i w:val="0"/>
      <w:color w:val="7030A0"/>
      <w:sz w:val="22"/>
    </w:rPr>
  </w:style>
  <w:style w:type="character" w:customStyle="1" w:styleId="ListLabel379">
    <w:name w:val="ListLabel 379"/>
    <w:qFormat/>
    <w:rPr>
      <w:rFonts w:cs="Courier New"/>
    </w:rPr>
  </w:style>
  <w:style w:type="character" w:customStyle="1" w:styleId="ListLabel380">
    <w:name w:val="ListLabel 380"/>
    <w:qFormat/>
    <w:rPr>
      <w:rFonts w:cs="Courier New"/>
    </w:rPr>
  </w:style>
  <w:style w:type="character" w:customStyle="1" w:styleId="ListLabel381">
    <w:name w:val="ListLabel 381"/>
    <w:qFormat/>
    <w:rPr>
      <w:rFonts w:cs="Courier New"/>
    </w:rPr>
  </w:style>
  <w:style w:type="character" w:customStyle="1" w:styleId="ListLabel382">
    <w:name w:val="ListLabel 382"/>
    <w:qFormat/>
    <w:rPr>
      <w:rFonts w:eastAsia="Calibri"/>
    </w:rPr>
  </w:style>
  <w:style w:type="character" w:customStyle="1" w:styleId="ListLabel383">
    <w:name w:val="ListLabel 383"/>
    <w:qFormat/>
    <w:rPr>
      <w:rFonts w:cs="Courier New"/>
    </w:rPr>
  </w:style>
  <w:style w:type="character" w:customStyle="1" w:styleId="ListLabel384">
    <w:name w:val="ListLabel 384"/>
    <w:qFormat/>
    <w:rPr>
      <w:rFonts w:cs="Courier New"/>
    </w:rPr>
  </w:style>
  <w:style w:type="character" w:customStyle="1" w:styleId="ListLabel385">
    <w:name w:val="ListLabel 385"/>
    <w:qFormat/>
    <w:rPr>
      <w:rFonts w:cs="Courier New"/>
    </w:rPr>
  </w:style>
  <w:style w:type="character" w:customStyle="1" w:styleId="ListLabel386">
    <w:name w:val="ListLabel 386"/>
    <w:qFormat/>
    <w:rPr>
      <w:rFonts w:cs="Courier New"/>
    </w:rPr>
  </w:style>
  <w:style w:type="character" w:customStyle="1" w:styleId="ListLabel387">
    <w:name w:val="ListLabel 387"/>
    <w:qFormat/>
    <w:rPr>
      <w:rFonts w:cs="Courier New"/>
    </w:rPr>
  </w:style>
  <w:style w:type="character" w:customStyle="1" w:styleId="ListLabel388">
    <w:name w:val="ListLabel 388"/>
    <w:qFormat/>
    <w:rPr>
      <w:rFonts w:cs="Courier New"/>
    </w:rPr>
  </w:style>
  <w:style w:type="character" w:customStyle="1" w:styleId="ListLabel389">
    <w:name w:val="ListLabel 389"/>
    <w:qFormat/>
    <w:rPr>
      <w:rFonts w:cs="Courier New"/>
    </w:rPr>
  </w:style>
  <w:style w:type="character" w:customStyle="1" w:styleId="ListLabel390">
    <w:name w:val="ListLabel 390"/>
    <w:qFormat/>
    <w:rPr>
      <w:rFonts w:cs="Courier New"/>
    </w:rPr>
  </w:style>
  <w:style w:type="character" w:customStyle="1" w:styleId="ListLabel391">
    <w:name w:val="ListLabel 391"/>
    <w:qFormat/>
    <w:rPr>
      <w:rFonts w:cs="Courier New"/>
    </w:rPr>
  </w:style>
  <w:style w:type="character" w:customStyle="1" w:styleId="ListLabel392">
    <w:name w:val="ListLabel 392"/>
    <w:qFormat/>
    <w:rPr>
      <w:sz w:val="20"/>
      <w:szCs w:val="20"/>
    </w:rPr>
  </w:style>
  <w:style w:type="character" w:customStyle="1" w:styleId="ListLabel393">
    <w:name w:val="ListLabel 393"/>
    <w:qFormat/>
    <w:rPr>
      <w:rFonts w:ascii="Liberation Sans" w:eastAsia="Liberation Sans" w:hAnsi="Liberation Sans" w:cs="Liberation Sans"/>
      <w:b/>
      <w:sz w:val="22"/>
      <w:szCs w:val="22"/>
    </w:rPr>
  </w:style>
  <w:style w:type="character" w:customStyle="1" w:styleId="ListLabel394">
    <w:name w:val="ListLabel 394"/>
    <w:qFormat/>
    <w:rPr>
      <w:rFonts w:eastAsia="Liberation Sans" w:cs="Liberation Sans"/>
    </w:rPr>
  </w:style>
  <w:style w:type="character" w:customStyle="1" w:styleId="ListLabel395">
    <w:name w:val="ListLabel 395"/>
    <w:qFormat/>
    <w:rPr>
      <w:rFonts w:eastAsia="Liberation Sans" w:cs="Liberation Sans"/>
      <w:b/>
      <w:bCs/>
    </w:rPr>
  </w:style>
  <w:style w:type="character" w:customStyle="1" w:styleId="ListLabel396">
    <w:name w:val="ListLabel 396"/>
    <w:qFormat/>
  </w:style>
  <w:style w:type="character" w:customStyle="1" w:styleId="ListLabel397">
    <w:name w:val="ListLabel 397"/>
    <w:qFormat/>
    <w:rPr>
      <w:b/>
    </w:rPr>
  </w:style>
  <w:style w:type="character" w:customStyle="1" w:styleId="ListLabel398">
    <w:name w:val="ListLabel 398"/>
    <w:qFormat/>
    <w:rPr>
      <w:rFonts w:ascii="Liberation Sans" w:eastAsia="Liberation Sans" w:hAnsi="Liberation Sans" w:cs="Liberation Sans"/>
      <w:sz w:val="22"/>
      <w:szCs w:val="22"/>
    </w:rPr>
  </w:style>
  <w:style w:type="character" w:customStyle="1" w:styleId="ListLabel399">
    <w:name w:val="ListLabel 399"/>
    <w:qFormat/>
    <w:rPr>
      <w:rFonts w:ascii="Liberation Sans" w:hAnsi="Liberation Sans"/>
      <w:b/>
    </w:rPr>
  </w:style>
  <w:style w:type="character" w:customStyle="1" w:styleId="ListLabel400">
    <w:name w:val="ListLabel 400"/>
    <w:qFormat/>
    <w:rPr>
      <w:rFonts w:ascii="Liberation Sans" w:hAnsi="Liberation Sans"/>
    </w:rPr>
  </w:style>
  <w:style w:type="character" w:customStyle="1" w:styleId="ListLabel401">
    <w:name w:val="ListLabel 401"/>
    <w:qFormat/>
    <w:rPr>
      <w:rFonts w:ascii="Liberation Sans" w:hAnsi="Liberation Sans"/>
      <w:b/>
      <w:bCs/>
    </w:rPr>
  </w:style>
  <w:style w:type="character" w:customStyle="1" w:styleId="ListLabel402">
    <w:name w:val="ListLabel 402"/>
    <w:qFormat/>
    <w:rPr>
      <w:rFonts w:ascii="Liberation Sans" w:hAnsi="Liberation Sans"/>
      <w:b/>
      <w:bCs/>
      <w:color w:val="000000" w:themeColor="text1"/>
      <w:u w:val="none"/>
    </w:rPr>
  </w:style>
  <w:style w:type="character" w:customStyle="1" w:styleId="ListLabel403">
    <w:name w:val="ListLabel 403"/>
    <w:qFormat/>
    <w:rPr>
      <w:rFonts w:ascii="Liberation Sans" w:hAnsi="Liberation Sans"/>
      <w:b/>
      <w:color w:val="000000" w:themeColor="text1"/>
      <w:u w:val="none"/>
    </w:rPr>
  </w:style>
  <w:style w:type="character" w:customStyle="1" w:styleId="ListLabel404">
    <w:name w:val="ListLabel 404"/>
    <w:qFormat/>
    <w:rPr>
      <w:sz w:val="20"/>
      <w:szCs w:val="20"/>
      <w:lang w:val="en-GB"/>
    </w:rPr>
  </w:style>
  <w:style w:type="paragraph" w:customStyle="1" w:styleId="Ttulo10">
    <w:name w:val="Título1"/>
    <w:basedOn w:val="Normal"/>
    <w:next w:val="Textoindependiente"/>
    <w:qFormat/>
    <w:pPr>
      <w:keepNext/>
      <w:spacing w:after="120"/>
    </w:pPr>
    <w:rPr>
      <w:rFonts w:ascii="Liberation Sans" w:eastAsia="Source Han Sans CN" w:hAnsi="Liberation Sans" w:cs="Lohit Devanagari"/>
      <w:sz w:val="28"/>
      <w:szCs w:val="28"/>
    </w:rPr>
  </w:style>
  <w:style w:type="paragraph" w:styleId="Textoindependiente">
    <w:name w:val="Body Text"/>
    <w:basedOn w:val="Normal"/>
    <w:link w:val="TextoindependienteCar"/>
    <w:rsid w:val="0042023C"/>
    <w:pPr>
      <w:spacing w:before="0" w:after="140" w:line="240" w:lineRule="auto"/>
    </w:pPr>
    <w:rPr>
      <w:rFonts w:ascii="Liberation Sans" w:eastAsia="Liberation Serif" w:hAnsi="Liberation Sans" w:cs="Liberation Serif"/>
      <w:color w:val="auto"/>
      <w:sz w:val="22"/>
      <w:lang w:val="es-ES" w:eastAsia="es-ES"/>
    </w:rPr>
  </w:style>
  <w:style w:type="paragraph" w:styleId="Lista">
    <w:name w:val="List"/>
    <w:basedOn w:val="Textoindependiente"/>
    <w:rPr>
      <w:rFonts w:cs="Lohit Devanagari"/>
    </w:rPr>
  </w:style>
  <w:style w:type="paragraph" w:styleId="Descripcin">
    <w:name w:val="caption"/>
    <w:basedOn w:val="Normal"/>
    <w:next w:val="Normal"/>
    <w:autoRedefine/>
    <w:uiPriority w:val="35"/>
    <w:unhideWhenUsed/>
    <w:qFormat/>
    <w:rsid w:val="004E4D99"/>
    <w:pPr>
      <w:spacing w:before="0" w:after="200" w:line="240" w:lineRule="auto"/>
      <w:jc w:val="right"/>
    </w:pPr>
    <w:rPr>
      <w:i/>
      <w:iCs/>
      <w:color w:val="404040" w:themeColor="text1" w:themeTint="BF"/>
      <w:sz w:val="18"/>
      <w:szCs w:val="18"/>
    </w:rPr>
  </w:style>
  <w:style w:type="paragraph" w:customStyle="1" w:styleId="ndice">
    <w:name w:val="Índice"/>
    <w:basedOn w:val="Normal"/>
    <w:qFormat/>
    <w:pPr>
      <w:suppressLineNumbers/>
    </w:pPr>
    <w:rPr>
      <w:rFonts w:cs="Lohit Devanagari"/>
    </w:rPr>
  </w:style>
  <w:style w:type="paragraph" w:customStyle="1" w:styleId="Ttulo11">
    <w:name w:val="Título1"/>
    <w:basedOn w:val="Normal"/>
    <w:next w:val="Textoindependiente"/>
    <w:qFormat/>
    <w:pPr>
      <w:keepNext/>
      <w:spacing w:after="120"/>
    </w:pPr>
    <w:rPr>
      <w:rFonts w:ascii="Liberation Sans" w:eastAsia="Source Han Sans CN" w:hAnsi="Liberation Sans" w:cs="Lohit Devanagari"/>
      <w:sz w:val="28"/>
      <w:szCs w:val="28"/>
    </w:rPr>
  </w:style>
  <w:style w:type="paragraph" w:styleId="HTMLconformatoprevio">
    <w:name w:val="HTML Preformatted"/>
    <w:basedOn w:val="Normal"/>
    <w:link w:val="HTMLconformatoprevioCar"/>
    <w:uiPriority w:val="99"/>
    <w:unhideWhenUsed/>
    <w:qFormat/>
    <w:rsid w:val="00275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s-ES" w:eastAsia="es-ES"/>
    </w:rPr>
  </w:style>
  <w:style w:type="paragraph" w:styleId="Encabezado">
    <w:name w:val="header"/>
    <w:basedOn w:val="Normal"/>
    <w:next w:val="Normal"/>
    <w:link w:val="EncabezadoCar"/>
    <w:autoRedefine/>
    <w:uiPriority w:val="99"/>
    <w:unhideWhenUsed/>
    <w:qFormat/>
    <w:rsid w:val="00AC0432"/>
    <w:pPr>
      <w:tabs>
        <w:tab w:val="center" w:pos="4252"/>
        <w:tab w:val="right" w:pos="8504"/>
      </w:tabs>
      <w:spacing w:before="120"/>
      <w:ind w:left="-1134"/>
      <w:jc w:val="left"/>
    </w:pPr>
    <w:rPr>
      <w:rFonts w:cs="Times New Roman (Cuerpo en alfa"/>
      <w:b/>
      <w:color w:val="808080" w:themeColor="background1" w:themeShade="80"/>
      <w:sz w:val="20"/>
      <w:szCs w:val="20"/>
    </w:rPr>
  </w:style>
  <w:style w:type="paragraph" w:styleId="Piedepgina">
    <w:name w:val="footer"/>
    <w:basedOn w:val="Normal"/>
    <w:link w:val="PiedepginaCar"/>
    <w:uiPriority w:val="99"/>
    <w:unhideWhenUsed/>
    <w:rsid w:val="005157E9"/>
    <w:pPr>
      <w:tabs>
        <w:tab w:val="center" w:pos="4252"/>
        <w:tab w:val="right" w:pos="8504"/>
      </w:tabs>
    </w:pPr>
  </w:style>
  <w:style w:type="paragraph" w:styleId="Textodeglobo">
    <w:name w:val="Balloon Text"/>
    <w:basedOn w:val="Normal"/>
    <w:link w:val="TextodegloboCar"/>
    <w:uiPriority w:val="99"/>
    <w:semiHidden/>
    <w:unhideWhenUsed/>
    <w:qFormat/>
    <w:rsid w:val="00FD162B"/>
    <w:pPr>
      <w:spacing w:before="0" w:after="0" w:line="240" w:lineRule="auto"/>
    </w:pPr>
    <w:rPr>
      <w:rFonts w:ascii="Lucida Grande" w:hAnsi="Lucida Grande" w:cs="Lucida Grande"/>
      <w:sz w:val="18"/>
      <w:szCs w:val="18"/>
    </w:rPr>
  </w:style>
  <w:style w:type="paragraph" w:styleId="Sinespaciado">
    <w:name w:val="No Spacing"/>
    <w:link w:val="SinespaciadoCar"/>
    <w:uiPriority w:val="1"/>
    <w:qFormat/>
    <w:rsid w:val="005A7410"/>
    <w:rPr>
      <w:rFonts w:ascii="Calibri" w:eastAsiaTheme="minorEastAsia" w:hAnsi="Calibri"/>
      <w:sz w:val="22"/>
      <w:szCs w:val="22"/>
      <w:lang w:val="en-US" w:eastAsia="zh-CN"/>
    </w:rPr>
  </w:style>
  <w:style w:type="paragraph" w:customStyle="1" w:styleId="TtuloPortada">
    <w:name w:val="Título Portada"/>
    <w:autoRedefine/>
    <w:qFormat/>
    <w:rsid w:val="009442BA"/>
    <w:pPr>
      <w:ind w:right="-46"/>
      <w:jc w:val="center"/>
    </w:pPr>
    <w:rPr>
      <w:rFonts w:ascii="Myriad Pro" w:eastAsiaTheme="majorEastAsia" w:hAnsi="Myriad Pro" w:cstheme="majorBidi"/>
      <w:b/>
      <w:bCs/>
      <w:color w:val="7030A0"/>
      <w:sz w:val="72"/>
      <w:szCs w:val="72"/>
      <w:lang w:val="es-ES"/>
    </w:rPr>
  </w:style>
  <w:style w:type="paragraph" w:styleId="TDC1">
    <w:name w:val="toc 1"/>
    <w:basedOn w:val="Normal"/>
    <w:next w:val="Normal"/>
    <w:autoRedefine/>
    <w:uiPriority w:val="39"/>
    <w:unhideWhenUsed/>
    <w:qFormat/>
    <w:rsid w:val="009442BA"/>
    <w:pPr>
      <w:tabs>
        <w:tab w:val="left" w:pos="660"/>
        <w:tab w:val="right" w:pos="9072"/>
      </w:tabs>
      <w:spacing w:before="60" w:line="240" w:lineRule="auto"/>
      <w:ind w:left="426" w:right="992" w:hanging="426"/>
    </w:pPr>
    <w:rPr>
      <w:rFonts w:eastAsia="Century Gothic" w:cs="Century Gothic"/>
      <w:b/>
      <w:smallCaps/>
      <w:szCs w:val="32"/>
      <w:lang w:val="es-ES"/>
    </w:rPr>
  </w:style>
  <w:style w:type="paragraph" w:styleId="TDC2">
    <w:name w:val="toc 2"/>
    <w:basedOn w:val="Normal"/>
    <w:next w:val="Normal"/>
    <w:autoRedefine/>
    <w:uiPriority w:val="39"/>
    <w:unhideWhenUsed/>
    <w:qFormat/>
    <w:rsid w:val="009442BA"/>
    <w:pPr>
      <w:tabs>
        <w:tab w:val="left" w:pos="1320"/>
        <w:tab w:val="right" w:pos="9072"/>
      </w:tabs>
      <w:spacing w:before="120" w:line="240" w:lineRule="auto"/>
      <w:ind w:left="850" w:right="992" w:hanging="425"/>
    </w:pPr>
    <w:rPr>
      <w:rFonts w:ascii="Myriad Pro Semibold" w:hAnsi="Myriad Pro Semibold" w:cs="Calibri"/>
      <w:b/>
      <w:szCs w:val="32"/>
      <w:lang w:val="en-GB"/>
    </w:rPr>
  </w:style>
  <w:style w:type="paragraph" w:styleId="TDC3">
    <w:name w:val="toc 3"/>
    <w:basedOn w:val="Normal"/>
    <w:next w:val="Normal"/>
    <w:autoRedefine/>
    <w:uiPriority w:val="39"/>
    <w:unhideWhenUsed/>
    <w:qFormat/>
    <w:rsid w:val="00731FC7"/>
    <w:pPr>
      <w:tabs>
        <w:tab w:val="left" w:pos="1540"/>
        <w:tab w:val="right" w:pos="9072"/>
      </w:tabs>
      <w:spacing w:line="240" w:lineRule="auto"/>
      <w:ind w:left="1560" w:right="992" w:hanging="709"/>
    </w:pPr>
    <w:rPr>
      <w:rFonts w:cs="Calibri"/>
      <w:szCs w:val="28"/>
      <w:lang w:val="es-ES"/>
    </w:rPr>
  </w:style>
  <w:style w:type="paragraph" w:styleId="TDC4">
    <w:name w:val="toc 4"/>
    <w:basedOn w:val="Normal"/>
    <w:next w:val="Normal"/>
    <w:autoRedefine/>
    <w:uiPriority w:val="39"/>
    <w:unhideWhenUsed/>
    <w:rsid w:val="00D838A1"/>
    <w:pPr>
      <w:spacing w:before="0" w:after="0"/>
      <w:ind w:left="660"/>
    </w:pPr>
    <w:rPr>
      <w:rFonts w:asciiTheme="minorHAnsi" w:hAnsiTheme="minorHAnsi"/>
      <w:sz w:val="20"/>
      <w:szCs w:val="20"/>
    </w:rPr>
  </w:style>
  <w:style w:type="paragraph" w:styleId="TDC5">
    <w:name w:val="toc 5"/>
    <w:basedOn w:val="Normal"/>
    <w:next w:val="Normal"/>
    <w:autoRedefine/>
    <w:uiPriority w:val="39"/>
    <w:unhideWhenUsed/>
    <w:rsid w:val="00D838A1"/>
    <w:pPr>
      <w:spacing w:before="0" w:after="0"/>
      <w:ind w:left="880"/>
    </w:pPr>
    <w:rPr>
      <w:rFonts w:asciiTheme="minorHAnsi" w:hAnsiTheme="minorHAnsi"/>
      <w:sz w:val="20"/>
      <w:szCs w:val="20"/>
    </w:rPr>
  </w:style>
  <w:style w:type="paragraph" w:styleId="TDC6">
    <w:name w:val="toc 6"/>
    <w:basedOn w:val="Normal"/>
    <w:next w:val="Normal"/>
    <w:autoRedefine/>
    <w:uiPriority w:val="39"/>
    <w:unhideWhenUsed/>
    <w:rsid w:val="00D838A1"/>
    <w:pPr>
      <w:spacing w:before="0" w:after="0"/>
      <w:ind w:left="1100"/>
    </w:pPr>
    <w:rPr>
      <w:rFonts w:asciiTheme="minorHAnsi" w:hAnsiTheme="minorHAnsi"/>
      <w:sz w:val="20"/>
      <w:szCs w:val="20"/>
    </w:rPr>
  </w:style>
  <w:style w:type="paragraph" w:styleId="TDC7">
    <w:name w:val="toc 7"/>
    <w:basedOn w:val="Normal"/>
    <w:next w:val="Normal"/>
    <w:autoRedefine/>
    <w:uiPriority w:val="39"/>
    <w:unhideWhenUsed/>
    <w:rsid w:val="00D838A1"/>
    <w:pPr>
      <w:spacing w:before="0" w:after="0"/>
      <w:ind w:left="1320"/>
    </w:pPr>
    <w:rPr>
      <w:rFonts w:asciiTheme="minorHAnsi" w:hAnsiTheme="minorHAnsi"/>
      <w:sz w:val="20"/>
      <w:szCs w:val="20"/>
    </w:rPr>
  </w:style>
  <w:style w:type="paragraph" w:styleId="TDC8">
    <w:name w:val="toc 8"/>
    <w:basedOn w:val="Normal"/>
    <w:next w:val="Normal"/>
    <w:autoRedefine/>
    <w:uiPriority w:val="39"/>
    <w:unhideWhenUsed/>
    <w:rsid w:val="00D838A1"/>
    <w:pPr>
      <w:spacing w:before="0" w:after="0"/>
      <w:ind w:left="1540"/>
    </w:pPr>
    <w:rPr>
      <w:rFonts w:asciiTheme="minorHAnsi" w:hAnsiTheme="minorHAnsi"/>
      <w:sz w:val="20"/>
      <w:szCs w:val="20"/>
    </w:rPr>
  </w:style>
  <w:style w:type="paragraph" w:styleId="TDC9">
    <w:name w:val="toc 9"/>
    <w:basedOn w:val="Normal"/>
    <w:next w:val="Normal"/>
    <w:autoRedefine/>
    <w:uiPriority w:val="39"/>
    <w:unhideWhenUsed/>
    <w:rsid w:val="00D838A1"/>
    <w:pPr>
      <w:spacing w:before="0" w:after="0"/>
      <w:ind w:left="1760"/>
    </w:pPr>
    <w:rPr>
      <w:rFonts w:asciiTheme="minorHAnsi" w:hAnsiTheme="minorHAnsi"/>
      <w:sz w:val="20"/>
      <w:szCs w:val="20"/>
    </w:rPr>
  </w:style>
  <w:style w:type="paragraph" w:customStyle="1" w:styleId="FechaPortada">
    <w:name w:val="Fecha Portada"/>
    <w:qFormat/>
    <w:rsid w:val="00D838A1"/>
    <w:rPr>
      <w:rFonts w:ascii="Neutra Text Demi SC" w:eastAsiaTheme="majorEastAsia" w:hAnsi="Neutra Text Demi SC" w:cstheme="majorBidi"/>
      <w:b/>
      <w:bCs/>
      <w:color w:val="7030A0"/>
      <w:sz w:val="32"/>
      <w:szCs w:val="36"/>
      <w:lang w:val="en-GB"/>
    </w:rPr>
  </w:style>
  <w:style w:type="paragraph" w:styleId="Listaconnmeros">
    <w:name w:val="List Number"/>
    <w:basedOn w:val="Normal"/>
    <w:uiPriority w:val="99"/>
    <w:unhideWhenUsed/>
    <w:qFormat/>
    <w:rsid w:val="004B09B3"/>
    <w:pPr>
      <w:tabs>
        <w:tab w:val="left" w:pos="851"/>
      </w:tabs>
      <w:ind w:left="709" w:hanging="425"/>
    </w:pPr>
  </w:style>
  <w:style w:type="paragraph" w:styleId="Listaconvietas">
    <w:name w:val="List Bullet"/>
    <w:basedOn w:val="Listaconnmeros"/>
    <w:uiPriority w:val="99"/>
    <w:unhideWhenUsed/>
    <w:qFormat/>
    <w:rsid w:val="006F4CAA"/>
    <w:pPr>
      <w:ind w:hanging="283"/>
    </w:pPr>
  </w:style>
  <w:style w:type="paragraph" w:customStyle="1" w:styleId="textotabla">
    <w:name w:val="texto tabla"/>
    <w:qFormat/>
    <w:rsid w:val="00AE4E86"/>
    <w:pPr>
      <w:spacing w:before="40" w:after="40"/>
      <w:ind w:left="113" w:right="113"/>
      <w:jc w:val="center"/>
    </w:pPr>
    <w:rPr>
      <w:rFonts w:ascii="Myriad Pro" w:eastAsia="Calibri" w:hAnsi="Myriad Pro"/>
      <w:color w:val="000000" w:themeColor="text1"/>
      <w:sz w:val="18"/>
      <w:szCs w:val="18"/>
    </w:rPr>
  </w:style>
  <w:style w:type="paragraph" w:customStyle="1" w:styleId="TABLACabecera">
    <w:name w:val="TABLA_Cabecera"/>
    <w:basedOn w:val="Normal"/>
    <w:autoRedefine/>
    <w:qFormat/>
    <w:rsid w:val="00C978EC"/>
    <w:pPr>
      <w:spacing w:line="240" w:lineRule="auto"/>
      <w:jc w:val="center"/>
    </w:pPr>
    <w:rPr>
      <w:b/>
      <w:color w:val="FFFFFF" w:themeColor="background1"/>
    </w:rPr>
  </w:style>
  <w:style w:type="paragraph" w:customStyle="1" w:styleId="TABLAFila1">
    <w:name w:val="TABLA_Fila1"/>
    <w:basedOn w:val="Normal"/>
    <w:qFormat/>
    <w:rsid w:val="00C978EC"/>
    <w:pPr>
      <w:spacing w:before="0" w:after="0" w:line="240" w:lineRule="auto"/>
      <w:jc w:val="center"/>
    </w:pPr>
  </w:style>
  <w:style w:type="paragraph" w:customStyle="1" w:styleId="LISTICON">
    <w:name w:val="LIST ICON"/>
    <w:basedOn w:val="Normal"/>
    <w:autoRedefine/>
    <w:qFormat/>
    <w:rsid w:val="005609CC"/>
    <w:pPr>
      <w:spacing w:line="276" w:lineRule="auto"/>
    </w:pPr>
    <w:rPr>
      <w:b/>
    </w:rPr>
  </w:style>
  <w:style w:type="paragraph" w:styleId="Prrafodelista">
    <w:name w:val="List Paragraph"/>
    <w:basedOn w:val="Normal"/>
    <w:uiPriority w:val="34"/>
    <w:qFormat/>
    <w:rsid w:val="00D31A65"/>
    <w:pPr>
      <w:ind w:left="720"/>
      <w:contextualSpacing/>
      <w:jc w:val="left"/>
    </w:pPr>
    <w:rPr>
      <w:rFonts w:ascii="Open Sans" w:eastAsia="Open Sans" w:hAnsi="Open Sans" w:cs="Open Sans"/>
      <w:color w:val="00000A"/>
      <w:sz w:val="22"/>
      <w:szCs w:val="22"/>
      <w:lang w:val="es-ES" w:eastAsia="es-ES"/>
    </w:rPr>
  </w:style>
  <w:style w:type="paragraph" w:styleId="Textonotapie">
    <w:name w:val="footnote text"/>
    <w:basedOn w:val="Normal"/>
    <w:link w:val="TextonotapieCar"/>
    <w:rsid w:val="00D31A65"/>
    <w:pPr>
      <w:keepNext/>
      <w:shd w:val="clear" w:color="auto" w:fill="FFFFFF"/>
      <w:spacing w:before="0" w:after="0" w:line="240" w:lineRule="auto"/>
      <w:jc w:val="left"/>
    </w:pPr>
    <w:rPr>
      <w:rFonts w:ascii="Liberation Serif" w:eastAsia="Liberation Serif" w:hAnsi="Liberation Serif" w:cs="Liberation Serif"/>
      <w:color w:val="00000A"/>
      <w:lang w:val="es-ES" w:eastAsia="es-ES"/>
    </w:rPr>
  </w:style>
  <w:style w:type="paragraph" w:styleId="Textocomentario">
    <w:name w:val="annotation text"/>
    <w:basedOn w:val="Normal"/>
    <w:link w:val="TextocomentarioCar"/>
    <w:uiPriority w:val="99"/>
    <w:unhideWhenUsed/>
    <w:qFormat/>
    <w:rsid w:val="008375CA"/>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8375CA"/>
    <w:rPr>
      <w:b/>
      <w:bCs/>
    </w:rPr>
  </w:style>
  <w:style w:type="paragraph" w:customStyle="1" w:styleId="Contenidodelatabla">
    <w:name w:val="Contenido de la tabla"/>
    <w:basedOn w:val="Normal"/>
    <w:qFormat/>
    <w:rsid w:val="00347054"/>
    <w:pPr>
      <w:suppressLineNumbers/>
      <w:spacing w:before="0" w:after="0" w:line="240" w:lineRule="auto"/>
      <w:jc w:val="left"/>
    </w:pPr>
    <w:rPr>
      <w:rFonts w:ascii="Liberation Serif" w:eastAsia="Source Han Sans CN" w:hAnsi="Liberation Serif" w:cs="Lohit Devanagari"/>
      <w:color w:val="auto"/>
      <w:kern w:val="2"/>
      <w:lang w:val="en-US" w:eastAsia="zh-CN" w:bidi="hi-IN"/>
    </w:rPr>
  </w:style>
  <w:style w:type="paragraph" w:customStyle="1" w:styleId="Contenidodelmarco">
    <w:name w:val="Contenido del marco"/>
    <w:basedOn w:val="Normal"/>
    <w:qFormat/>
  </w:style>
  <w:style w:type="paragraph" w:styleId="Revisin">
    <w:name w:val="Revision"/>
    <w:uiPriority w:val="99"/>
    <w:semiHidden/>
    <w:qFormat/>
    <w:rsid w:val="008F0FA5"/>
    <w:rPr>
      <w:rFonts w:ascii="Myriad Pro" w:eastAsia="Calibri" w:hAnsi="Myriad Pro"/>
      <w:color w:val="000000" w:themeColor="text1"/>
      <w:sz w:val="24"/>
    </w:rPr>
  </w:style>
  <w:style w:type="paragraph" w:styleId="Textonotaalfinal">
    <w:name w:val="endnote text"/>
    <w:basedOn w:val="Normal"/>
    <w:link w:val="TextonotaalfinalCar"/>
    <w:uiPriority w:val="99"/>
    <w:semiHidden/>
    <w:unhideWhenUsed/>
    <w:rsid w:val="008F0FA5"/>
    <w:pPr>
      <w:spacing w:before="0" w:after="0" w:line="240" w:lineRule="auto"/>
    </w:pPr>
    <w:rPr>
      <w:sz w:val="20"/>
      <w:szCs w:val="20"/>
    </w:rPr>
  </w:style>
  <w:style w:type="paragraph" w:styleId="Encabezadodelista">
    <w:name w:val="toa heading"/>
    <w:basedOn w:val="Ttulo11"/>
    <w:qFormat/>
    <w:pPr>
      <w:suppressLineNumbers/>
    </w:pPr>
    <w:rPr>
      <w:b/>
      <w:bCs/>
      <w:sz w:val="32"/>
      <w:szCs w:val="32"/>
    </w:rPr>
  </w:style>
  <w:style w:type="paragraph" w:customStyle="1" w:styleId="ContenidotablaNEW">
    <w:name w:val="Contenido tabla NEW"/>
    <w:basedOn w:val="Contenidodelatabla"/>
    <w:qFormat/>
    <w:rsid w:val="001C5602"/>
    <w:rPr>
      <w:rFonts w:ascii="Myriad Pro" w:hAnsi="Myriad Pro" w:cstheme="majorHAnsi"/>
      <w:sz w:val="18"/>
      <w:szCs w:val="18"/>
      <w:lang w:val="es-ES"/>
    </w:rPr>
  </w:style>
  <w:style w:type="paragraph" w:customStyle="1" w:styleId="Titulotablanew">
    <w:name w:val="Titulo tabla new"/>
    <w:basedOn w:val="TitulocolumnaNEW"/>
    <w:qFormat/>
    <w:rsid w:val="00044A5C"/>
  </w:style>
  <w:style w:type="paragraph" w:customStyle="1" w:styleId="TitulocolumnaNEW">
    <w:name w:val="Titulo columna NEW"/>
    <w:basedOn w:val="Normal"/>
    <w:qFormat/>
    <w:rsid w:val="001C5602"/>
    <w:pPr>
      <w:spacing w:line="276" w:lineRule="auto"/>
      <w:jc w:val="center"/>
    </w:pPr>
    <w:rPr>
      <w:rFonts w:ascii="Neutra Text" w:eastAsia="Liberation Sans" w:hAnsi="Neutra Text" w:cs="Liberation Sans"/>
      <w:b/>
      <w:bCs/>
      <w:color w:val="FFFFFF" w:themeColor="background1"/>
    </w:rPr>
  </w:style>
  <w:style w:type="paragraph" w:customStyle="1" w:styleId="ContenidoColumnaNEW">
    <w:name w:val="Contenido Columna NEW"/>
    <w:basedOn w:val="Normal"/>
    <w:qFormat/>
    <w:rsid w:val="001C5602"/>
    <w:pPr>
      <w:spacing w:after="140" w:line="276" w:lineRule="auto"/>
    </w:pPr>
    <w:rPr>
      <w:rFonts w:eastAsia="Liberation Sans" w:cs="Liberation Sans"/>
      <w:sz w:val="18"/>
      <w:szCs w:val="18"/>
    </w:rPr>
  </w:style>
  <w:style w:type="paragraph" w:customStyle="1" w:styleId="liberation">
    <w:name w:val="liberation??"/>
    <w:basedOn w:val="Textoindependiente"/>
    <w:qFormat/>
    <w:rsid w:val="00C861D2"/>
    <w:pPr>
      <w:spacing w:line="360" w:lineRule="auto"/>
    </w:pPr>
  </w:style>
  <w:style w:type="table" w:styleId="Tablaconcuadrcula">
    <w:name w:val="Table Grid"/>
    <w:basedOn w:val="Tablanormal"/>
    <w:uiPriority w:val="39"/>
    <w:rsid w:val="00991E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Des">
    <w:name w:val="RED.es"/>
    <w:basedOn w:val="Tablanormal"/>
    <w:uiPriority w:val="99"/>
    <w:rsid w:val="00AE4E86"/>
    <w:rPr>
      <w:color w:val="000000" w:themeColor="text1"/>
    </w:rPr>
    <w:tblPr/>
    <w:tcPr>
      <w:shd w:val="clear" w:color="auto" w:fill="FFFFFF" w:themeFill="background1"/>
    </w:tcPr>
    <w:tblStylePr w:type="firstRow">
      <w:pPr>
        <w:jc w:val="center"/>
      </w:pPr>
      <w:rPr>
        <w:b/>
        <w:i w:val="0"/>
        <w:color w:val="7030A0"/>
        <w:sz w:val="24"/>
      </w:rPr>
      <w:tblPr/>
      <w:tcPr>
        <w:tcBorders>
          <w:top w:val="nil"/>
          <w:left w:val="nil"/>
          <w:bottom w:val="nil"/>
          <w:right w:val="nil"/>
          <w:insideH w:val="nil"/>
          <w:insideV w:val="nil"/>
        </w:tcBorders>
        <w:vAlign w:val="center"/>
      </w:tcPr>
    </w:tblStylePr>
  </w:style>
  <w:style w:type="table" w:styleId="Tablanormal1">
    <w:name w:val="Plain Table 1"/>
    <w:basedOn w:val="Tablanormal"/>
    <w:uiPriority w:val="99"/>
    <w:rsid w:val="00AE4E8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b/>
        <w:bCs/>
      </w:rPr>
    </w:tblStylePr>
    <w:tblStylePr w:type="lastRow">
      <w:rPr>
        <w:b/>
        <w:bCs/>
      </w:rPr>
      <w:tblPr/>
      <w:tcPr>
        <w:tcBorders>
          <w:top w:val="double" w:sz="4" w:space="0" w:color="FFFFFF" w:themeColor="background1"/>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concuadrculaclara">
    <w:name w:val="Grid Table Light"/>
    <w:basedOn w:val="Tablanormal"/>
    <w:uiPriority w:val="99"/>
    <w:rsid w:val="00AE4E86"/>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style>
  <w:style w:type="table" w:styleId="Tabladelista3-nfasis2">
    <w:name w:val="List Table 3 Accent 2"/>
    <w:basedOn w:val="Tablanormal"/>
    <w:uiPriority w:val="48"/>
    <w:rsid w:val="00AE4E86"/>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Tablaconcuadrcula5oscura-nfasis2">
    <w:name w:val="Grid Table 5 Dark Accent 2"/>
    <w:basedOn w:val="Tablanormal"/>
    <w:uiPriority w:val="50"/>
    <w:rsid w:val="00AE4E8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character" w:styleId="Hipervnculo">
    <w:name w:val="Hyperlink"/>
    <w:basedOn w:val="Fuentedeprrafopredeter"/>
    <w:uiPriority w:val="99"/>
    <w:unhideWhenUsed/>
    <w:qFormat/>
    <w:rsid w:val="00D12A5D"/>
    <w:rPr>
      <w:color w:val="0563C1" w:themeColor="hyperlink"/>
      <w:u w:val="single"/>
    </w:rPr>
  </w:style>
  <w:style w:type="paragraph" w:customStyle="1" w:styleId="aaa">
    <w:name w:val="aaa"/>
    <w:basedOn w:val="TitulocolumnaNEW"/>
    <w:autoRedefine/>
    <w:qFormat/>
    <w:rsid w:val="00FA3084"/>
    <w:pPr>
      <w:spacing w:before="0" w:after="0"/>
    </w:pPr>
  </w:style>
  <w:style w:type="paragraph" w:customStyle="1" w:styleId="Estilo1">
    <w:name w:val="Estilo1"/>
    <w:basedOn w:val="ContenidoColumnaNEW"/>
    <w:qFormat/>
    <w:rsid w:val="00BD06AF"/>
    <w:rPr>
      <w:b/>
      <w:bCs/>
      <w:color w:val="000000"/>
    </w:rPr>
  </w:style>
  <w:style w:type="paragraph" w:customStyle="1" w:styleId="Estilo2">
    <w:name w:val="Estilo2"/>
    <w:basedOn w:val="Piedepgina"/>
    <w:qFormat/>
    <w:rsid w:val="007D2D51"/>
    <w:pPr>
      <w:spacing w:before="0" w:after="0"/>
    </w:pPr>
    <w:rPr>
      <w:vertAlign w:val="superscript"/>
    </w:rPr>
  </w:style>
  <w:style w:type="table" w:customStyle="1" w:styleId="TableNormal1">
    <w:name w:val="Table Normal1"/>
    <w:rsid w:val="00526D83"/>
    <w:pPr>
      <w:spacing w:after="160" w:line="259" w:lineRule="auto"/>
    </w:pPr>
    <w:rPr>
      <w:rFonts w:ascii="Calibri" w:eastAsia="Calibri" w:hAnsi="Calibri" w:cs="Calibri"/>
      <w:sz w:val="22"/>
      <w:szCs w:val="22"/>
      <w:lang w:val="es-ES" w:eastAsia="es-ES"/>
    </w:rPr>
    <w:tblPr>
      <w:tblCellMar>
        <w:top w:w="0" w:type="dxa"/>
        <w:left w:w="0" w:type="dxa"/>
        <w:bottom w:w="0" w:type="dxa"/>
        <w:right w:w="0" w:type="dxa"/>
      </w:tblCellMar>
    </w:tblPr>
  </w:style>
  <w:style w:type="paragraph" w:styleId="Ttulo">
    <w:name w:val="Title"/>
    <w:basedOn w:val="Normal"/>
    <w:next w:val="Normal"/>
    <w:link w:val="TtuloCar"/>
    <w:uiPriority w:val="10"/>
    <w:qFormat/>
    <w:rsid w:val="00526D83"/>
    <w:pPr>
      <w:keepNext/>
      <w:keepLines/>
      <w:spacing w:before="480" w:after="120" w:line="259" w:lineRule="auto"/>
      <w:jc w:val="left"/>
    </w:pPr>
    <w:rPr>
      <w:rFonts w:ascii="Calibri" w:hAnsi="Calibri" w:cs="Calibri"/>
      <w:b/>
      <w:color w:val="auto"/>
      <w:sz w:val="52"/>
      <w:szCs w:val="72"/>
      <w:lang w:val="es-ES" w:eastAsia="es-ES"/>
    </w:rPr>
  </w:style>
  <w:style w:type="character" w:customStyle="1" w:styleId="TtuloCar">
    <w:name w:val="Título Car"/>
    <w:basedOn w:val="Fuentedeprrafopredeter"/>
    <w:link w:val="Ttulo"/>
    <w:uiPriority w:val="10"/>
    <w:rsid w:val="00526D83"/>
    <w:rPr>
      <w:rFonts w:ascii="Calibri" w:eastAsia="Calibri" w:hAnsi="Calibri" w:cs="Calibri"/>
      <w:b/>
      <w:sz w:val="52"/>
      <w:szCs w:val="72"/>
      <w:lang w:val="es-ES" w:eastAsia="es-ES"/>
    </w:rPr>
  </w:style>
  <w:style w:type="paragraph" w:styleId="Subttulo">
    <w:name w:val="Subtitle"/>
    <w:basedOn w:val="Normal"/>
    <w:next w:val="Normal"/>
    <w:link w:val="SubttuloCar"/>
    <w:uiPriority w:val="11"/>
    <w:qFormat/>
    <w:rsid w:val="00526D83"/>
    <w:pPr>
      <w:keepNext/>
      <w:keepLines/>
      <w:spacing w:before="360" w:after="80" w:line="259" w:lineRule="auto"/>
      <w:jc w:val="left"/>
    </w:pPr>
    <w:rPr>
      <w:rFonts w:ascii="Georgia" w:eastAsia="Georgia" w:hAnsi="Georgia" w:cs="Georgia"/>
      <w:i/>
      <w:color w:val="666666"/>
      <w:sz w:val="48"/>
      <w:szCs w:val="48"/>
      <w:lang w:val="es-ES" w:eastAsia="es-ES"/>
    </w:rPr>
  </w:style>
  <w:style w:type="character" w:customStyle="1" w:styleId="SubttuloCar">
    <w:name w:val="Subtítulo Car"/>
    <w:basedOn w:val="Fuentedeprrafopredeter"/>
    <w:link w:val="Subttulo"/>
    <w:uiPriority w:val="11"/>
    <w:rsid w:val="00526D83"/>
    <w:rPr>
      <w:rFonts w:ascii="Georgia" w:eastAsia="Georgia" w:hAnsi="Georgia" w:cs="Georgia"/>
      <w:i/>
      <w:color w:val="666666"/>
      <w:sz w:val="48"/>
      <w:szCs w:val="48"/>
      <w:lang w:val="es-ES" w:eastAsia="es-ES"/>
    </w:rPr>
  </w:style>
  <w:style w:type="paragraph" w:styleId="Mapadeldocumento">
    <w:name w:val="Document Map"/>
    <w:basedOn w:val="Normal"/>
    <w:link w:val="MapadeldocumentoCar"/>
    <w:uiPriority w:val="99"/>
    <w:semiHidden/>
    <w:unhideWhenUsed/>
    <w:rsid w:val="00526D83"/>
    <w:pPr>
      <w:spacing w:before="0" w:after="0" w:line="240" w:lineRule="auto"/>
      <w:jc w:val="left"/>
    </w:pPr>
    <w:rPr>
      <w:rFonts w:ascii="Times New Roman" w:hAnsi="Times New Roman" w:cs="Times New Roman"/>
      <w:color w:val="auto"/>
      <w:lang w:val="es-ES" w:eastAsia="es-ES"/>
    </w:rPr>
  </w:style>
  <w:style w:type="character" w:customStyle="1" w:styleId="MapadeldocumentoCar">
    <w:name w:val="Mapa del documento Car"/>
    <w:basedOn w:val="Fuentedeprrafopredeter"/>
    <w:link w:val="Mapadeldocumento"/>
    <w:uiPriority w:val="99"/>
    <w:semiHidden/>
    <w:rsid w:val="00526D83"/>
    <w:rPr>
      <w:rFonts w:ascii="Times New Roman" w:eastAsia="Calibri" w:hAnsi="Times New Roman" w:cs="Times New Roman"/>
      <w:sz w:val="24"/>
      <w:lang w:val="es-ES" w:eastAsia="es-ES"/>
    </w:rPr>
  </w:style>
  <w:style w:type="paragraph" w:styleId="NormalWeb">
    <w:name w:val="Normal (Web)"/>
    <w:basedOn w:val="Normal"/>
    <w:uiPriority w:val="99"/>
    <w:semiHidden/>
    <w:unhideWhenUsed/>
    <w:rsid w:val="00526D83"/>
    <w:pPr>
      <w:spacing w:before="100" w:beforeAutospacing="1" w:after="100" w:afterAutospacing="1" w:line="240" w:lineRule="auto"/>
      <w:jc w:val="left"/>
    </w:pPr>
    <w:rPr>
      <w:rFonts w:ascii="Times New Roman" w:hAnsi="Times New Roman" w:cs="Times New Roman"/>
      <w:color w:val="auto"/>
      <w:lang w:eastAsia="es-ES_tradnl"/>
    </w:rPr>
  </w:style>
  <w:style w:type="character" w:styleId="Textoennegrita">
    <w:name w:val="Strong"/>
    <w:basedOn w:val="Fuentedeprrafopredeter"/>
    <w:uiPriority w:val="22"/>
    <w:qFormat/>
    <w:rsid w:val="00526D83"/>
    <w:rPr>
      <w:b/>
      <w:bCs/>
    </w:rPr>
  </w:style>
  <w:style w:type="paragraph" w:styleId="TtuloTDC">
    <w:name w:val="TOC Heading"/>
    <w:basedOn w:val="Ttulo1"/>
    <w:next w:val="Normal"/>
    <w:uiPriority w:val="39"/>
    <w:unhideWhenUsed/>
    <w:qFormat/>
    <w:rsid w:val="00526D83"/>
    <w:pPr>
      <w:pageBreakBefore w:val="0"/>
      <w:spacing w:after="0" w:line="259" w:lineRule="auto"/>
      <w:ind w:left="0"/>
      <w:outlineLvl w:val="9"/>
    </w:pPr>
    <w:rPr>
      <w:rFonts w:asciiTheme="majorHAnsi" w:hAnsiTheme="majorHAnsi" w:cstheme="majorBidi"/>
      <w:b w:val="0"/>
      <w:bCs w:val="0"/>
      <w:smallCaps w:val="0"/>
      <w:color w:val="2E74B5" w:themeColor="accent1" w:themeShade="BF"/>
      <w:sz w:val="32"/>
      <w:szCs w:val="32"/>
      <w:lang w:val="en-US"/>
    </w:rPr>
  </w:style>
  <w:style w:type="character" w:styleId="Mencinsinresolver">
    <w:name w:val="Unresolved Mention"/>
    <w:basedOn w:val="Fuentedeprrafopredeter"/>
    <w:uiPriority w:val="99"/>
    <w:rsid w:val="00E20877"/>
    <w:rPr>
      <w:color w:val="605E5C"/>
      <w:shd w:val="clear" w:color="auto" w:fill="E1DFDD"/>
    </w:rPr>
  </w:style>
  <w:style w:type="character" w:customStyle="1" w:styleId="tlid-translation">
    <w:name w:val="tlid-translation"/>
    <w:basedOn w:val="Fuentedeprrafopredeter"/>
    <w:rsid w:val="0096445B"/>
  </w:style>
  <w:style w:type="character" w:customStyle="1" w:styleId="e24kjd">
    <w:name w:val="e24kjd"/>
    <w:basedOn w:val="Fuentedeprrafopredeter"/>
    <w:rsid w:val="00D536BD"/>
  </w:style>
  <w:style w:type="character" w:customStyle="1" w:styleId="st">
    <w:name w:val="st"/>
    <w:basedOn w:val="Fuentedeprrafopredeter"/>
    <w:rsid w:val="00D21BC0"/>
  </w:style>
  <w:style w:type="character" w:styleId="nfasis">
    <w:name w:val="Emphasis"/>
    <w:basedOn w:val="Fuentedeprrafopredeter"/>
    <w:uiPriority w:val="20"/>
    <w:qFormat/>
    <w:rsid w:val="00D21B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3478445">
      <w:bodyDiv w:val="1"/>
      <w:marLeft w:val="0"/>
      <w:marRight w:val="0"/>
      <w:marTop w:val="0"/>
      <w:marBottom w:val="0"/>
      <w:divBdr>
        <w:top w:val="none" w:sz="0" w:space="0" w:color="auto"/>
        <w:left w:val="none" w:sz="0" w:space="0" w:color="auto"/>
        <w:bottom w:val="none" w:sz="0" w:space="0" w:color="auto"/>
        <w:right w:val="none" w:sz="0" w:space="0" w:color="auto"/>
      </w:divBdr>
    </w:div>
    <w:div w:id="1102645580">
      <w:bodyDiv w:val="1"/>
      <w:marLeft w:val="0"/>
      <w:marRight w:val="0"/>
      <w:marTop w:val="0"/>
      <w:marBottom w:val="0"/>
      <w:divBdr>
        <w:top w:val="none" w:sz="0" w:space="0" w:color="auto"/>
        <w:left w:val="none" w:sz="0" w:space="0" w:color="auto"/>
        <w:bottom w:val="none" w:sz="0" w:space="0" w:color="auto"/>
        <w:right w:val="none" w:sz="0" w:space="0" w:color="auto"/>
      </w:divBdr>
    </w:div>
    <w:div w:id="16992346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image" Target="media/image38.svg"/><Relationship Id="rId21" Type="http://schemas.openxmlformats.org/officeDocument/2006/relationships/image" Target="media/image9.jpg"/><Relationship Id="rId42" Type="http://schemas.openxmlformats.org/officeDocument/2006/relationships/hyperlink" Target="https://observatoriorsc.org/la-responsabilidad-social-corporativa-en-las-memorias-anuales-de-las-empresas-del-ibex-35/" TargetMode="External"/><Relationship Id="rId63" Type="http://schemas.openxmlformats.org/officeDocument/2006/relationships/hyperlink" Target="http://www.budapestopenaccessinitiative.org/translations/spanish-translation" TargetMode="External"/><Relationship Id="rId84" Type="http://schemas.openxmlformats.org/officeDocument/2006/relationships/hyperlink" Target="https://wiki.dbpedia.org/" TargetMode="External"/><Relationship Id="rId138" Type="http://schemas.openxmlformats.org/officeDocument/2006/relationships/hyperlink" Target="https://databank.worldbank.org/home.aspx" TargetMode="External"/><Relationship Id="rId159" Type="http://schemas.openxmlformats.org/officeDocument/2006/relationships/hyperlink" Target="http://www.oecd.org/statistics/compare-your-income.htm" TargetMode="External"/><Relationship Id="rId170" Type="http://schemas.openxmlformats.org/officeDocument/2006/relationships/hyperlink" Target="https://privacycloud.com/" TargetMode="External"/><Relationship Id="rId191" Type="http://schemas.openxmlformats.org/officeDocument/2006/relationships/image" Target="media/image54.png"/><Relationship Id="rId205" Type="http://schemas.openxmlformats.org/officeDocument/2006/relationships/image" Target="media/image67.svg"/><Relationship Id="rId226" Type="http://schemas.openxmlformats.org/officeDocument/2006/relationships/hyperlink" Target="https://datos.gob.es/en/desafios-aporta/aporta-challenge-2019" TargetMode="External"/><Relationship Id="rId247" Type="http://schemas.openxmlformats.org/officeDocument/2006/relationships/hyperlink" Target="https://www.accenture.com/us-en/insights/high-tech/dawn-of-data-marketplace" TargetMode="External"/><Relationship Id="rId107" Type="http://schemas.openxmlformats.org/officeDocument/2006/relationships/image" Target="media/image31.svg"/><Relationship Id="rId11" Type="http://schemas.openxmlformats.org/officeDocument/2006/relationships/footer" Target="footer2.xml"/><Relationship Id="rId32" Type="http://schemas.openxmlformats.org/officeDocument/2006/relationships/image" Target="media/image11.png"/><Relationship Id="rId53" Type="http://schemas.openxmlformats.org/officeDocument/2006/relationships/hyperlink" Target="https://www.quadrant.io/" TargetMode="External"/><Relationship Id="rId74" Type="http://schemas.openxmlformats.org/officeDocument/2006/relationships/hyperlink" Target="https://www.iberley.es/temas/concepto-dominio-publico-61979" TargetMode="External"/><Relationship Id="rId128" Type="http://schemas.openxmlformats.org/officeDocument/2006/relationships/hyperlink" Target="https://data.usaid.gov/" TargetMode="External"/><Relationship Id="rId149" Type="http://schemas.openxmlformats.org/officeDocument/2006/relationships/hyperlink" Target="http://apps.who.int/gho/data/node.imr" TargetMode="External"/><Relationship Id="rId5" Type="http://schemas.openxmlformats.org/officeDocument/2006/relationships/webSettings" Target="webSettings.xml"/><Relationship Id="rId95" Type="http://schemas.openxmlformats.org/officeDocument/2006/relationships/hyperlink" Target="https://eunis.eea.europa.eu/" TargetMode="External"/><Relationship Id="rId160" Type="http://schemas.openxmlformats.org/officeDocument/2006/relationships/image" Target="media/image45.jpg"/><Relationship Id="rId181" Type="http://schemas.openxmlformats.org/officeDocument/2006/relationships/hyperlink" Target="https://eur-lex.europa.eu/legal-content/ES/TXT/HTML/?uri=CELEX:52018SC0125&amp;from=EN" TargetMode="External"/><Relationship Id="rId216" Type="http://schemas.openxmlformats.org/officeDocument/2006/relationships/hyperlink" Target="http://ide.mit.edu/sites/default/files/publications/Data-Cooperatives-final.pdf" TargetMode="External"/><Relationship Id="rId237" Type="http://schemas.openxmlformats.org/officeDocument/2006/relationships/hyperlink" Target="https://edincubator.eu/" TargetMode="External"/><Relationship Id="rId22" Type="http://schemas.openxmlformats.org/officeDocument/2006/relationships/image" Target="media/image10.jpg"/><Relationship Id="rId43" Type="http://schemas.openxmlformats.org/officeDocument/2006/relationships/hyperlink" Target="https://movement.uber.com/cities?lang=en-US" TargetMode="External"/><Relationship Id="rId64" Type="http://schemas.openxmlformats.org/officeDocument/2006/relationships/hyperlink" Target="https://ictlogy.net/articles/bethesda_es.html" TargetMode="External"/><Relationship Id="rId118" Type="http://schemas.openxmlformats.org/officeDocument/2006/relationships/image" Target="media/image39.png"/><Relationship Id="rId139" Type="http://schemas.openxmlformats.org/officeDocument/2006/relationships/hyperlink" Target="https://databank.worldbank.org/home.aspx" TargetMode="External"/><Relationship Id="rId85" Type="http://schemas.openxmlformats.org/officeDocument/2006/relationships/hyperlink" Target="http://www.lexvo.org/" TargetMode="External"/><Relationship Id="rId150" Type="http://schemas.openxmlformats.org/officeDocument/2006/relationships/hyperlink" Target="http://apps.who.int/gho/data/node.country" TargetMode="External"/><Relationship Id="rId171" Type="http://schemas.openxmlformats.org/officeDocument/2006/relationships/hyperlink" Target="https://gdpr-info.eu/art-20-gdpr/" TargetMode="External"/><Relationship Id="rId192" Type="http://schemas.openxmlformats.org/officeDocument/2006/relationships/image" Target="media/image55.svg"/><Relationship Id="rId206" Type="http://schemas.openxmlformats.org/officeDocument/2006/relationships/hyperlink" Target="https://www.dta.gov.au/help-and-advice/learning-and-development/data-fellowship-program" TargetMode="External"/><Relationship Id="rId227" Type="http://schemas.openxmlformats.org/officeDocument/2006/relationships/hyperlink" Target="https://www.nesta.org.uk/project/open-data-challenge-series/" TargetMode="External"/><Relationship Id="rId248" Type="http://schemas.openxmlformats.org/officeDocument/2006/relationships/hyperlink" Target="https://www.gartner.com/en/documents/3746017/understand-the-data-brokerage-market-before-choosing-a-p" TargetMode="External"/><Relationship Id="rId12" Type="http://schemas.openxmlformats.org/officeDocument/2006/relationships/hyperlink" Target="http://datos.gob.es/es/aviso-legal" TargetMode="External"/><Relationship Id="rId33" Type="http://schemas.openxmlformats.org/officeDocument/2006/relationships/image" Target="media/image12.svg"/><Relationship Id="rId108" Type="http://schemas.openxmlformats.org/officeDocument/2006/relationships/hyperlink" Target="http://www.theeuropeanlibrary.org/tel4/" TargetMode="External"/><Relationship Id="rId129" Type="http://schemas.openxmlformats.org/officeDocument/2006/relationships/hyperlink" Target="https://data.oecd.org/development.htm" TargetMode="External"/><Relationship Id="rId54" Type="http://schemas.openxmlformats.org/officeDocument/2006/relationships/hyperlink" Target="https://www.refinitiv.com/" TargetMode="External"/><Relationship Id="rId70" Type="http://schemas.openxmlformats.org/officeDocument/2006/relationships/hyperlink" Target="https://www.boe.es/boe/dias/2011/02/10/pdfs/BOE-A-2011-2541.pdf" TargetMode="External"/><Relationship Id="rId75" Type="http://schemas.openxmlformats.org/officeDocument/2006/relationships/hyperlink" Target="https://portal.gdc.cancer.gov/" TargetMode="External"/><Relationship Id="rId91" Type="http://schemas.openxmlformats.org/officeDocument/2006/relationships/image" Target="media/image24.png"/><Relationship Id="rId96" Type="http://schemas.openxmlformats.org/officeDocument/2006/relationships/image" Target="media/image26.png"/><Relationship Id="rId140" Type="http://schemas.openxmlformats.org/officeDocument/2006/relationships/hyperlink" Target="https://microdata.worldbank.org/index.php/home" TargetMode="External"/><Relationship Id="rId145" Type="http://schemas.openxmlformats.org/officeDocument/2006/relationships/hyperlink" Target="https://www.un.org/es/databases/" TargetMode="External"/><Relationship Id="rId161" Type="http://schemas.openxmlformats.org/officeDocument/2006/relationships/hyperlink" Target="https://www.imf.org/en/Data" TargetMode="External"/><Relationship Id="rId166" Type="http://schemas.openxmlformats.org/officeDocument/2006/relationships/image" Target="media/image46.jpg"/><Relationship Id="rId182" Type="http://schemas.openxmlformats.org/officeDocument/2006/relationships/hyperlink" Target="https://ico.org.uk/media/for-organisations/documents/1068/data_sharing_code_of_practice.pdf" TargetMode="External"/><Relationship Id="rId187" Type="http://schemas.openxmlformats.org/officeDocument/2006/relationships/image" Target="media/image50.png"/><Relationship Id="rId217" Type="http://schemas.openxmlformats.org/officeDocument/2006/relationships/hyperlink" Target="https://www.midata.coop/en/home/"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image" Target="media/image72.png"/><Relationship Id="rId233" Type="http://schemas.openxmlformats.org/officeDocument/2006/relationships/hyperlink" Target="https://www.datamarketservices.eu/" TargetMode="External"/><Relationship Id="rId238" Type="http://schemas.openxmlformats.org/officeDocument/2006/relationships/hyperlink" Target="https://datapitch.eu/data-pitch-startups/cohort2startups-2/" TargetMode="External"/><Relationship Id="rId254" Type="http://schemas.openxmlformats.org/officeDocument/2006/relationships/hyperlink" Target="https://creativecommons.org/about/program-areas/open-access/" TargetMode="External"/><Relationship Id="rId23" Type="http://schemas.openxmlformats.org/officeDocument/2006/relationships/hyperlink" Target="https://www.bankingsupervision.europa.eu/banking/approach/cycle/html/index.en.html" TargetMode="External"/><Relationship Id="rId28" Type="http://schemas.openxmlformats.org/officeDocument/2006/relationships/hyperlink" Target="https://www.compromisoytransparencia.com/informes/contribucion-y-transparencia-2018-informe-de-responsabilidad-fiscal-del-ibex-35-y-contribucion-de-las-multinacionales-en-espana" TargetMode="External"/><Relationship Id="rId49" Type="http://schemas.openxmlformats.org/officeDocument/2006/relationships/hyperlink" Target="https://dataforgood.fb.com/tools/disease-prevention-maps/" TargetMode="External"/><Relationship Id="rId114" Type="http://schemas.openxmlformats.org/officeDocument/2006/relationships/image" Target="media/image35.png"/><Relationship Id="rId119" Type="http://schemas.openxmlformats.org/officeDocument/2006/relationships/image" Target="media/image40.svg"/><Relationship Id="rId44" Type="http://schemas.openxmlformats.org/officeDocument/2006/relationships/hyperlink" Target="https://www.sncf.com/en/commitments/csr-priorities/environment" TargetMode="External"/><Relationship Id="rId60" Type="http://schemas.openxmlformats.org/officeDocument/2006/relationships/hyperlink" Target="https://www.accenture.com/gb-en/insights/high-tech/dawn-of-data-marketplace" TargetMode="External"/><Relationship Id="rId65" Type="http://schemas.openxmlformats.org/officeDocument/2006/relationships/hyperlink" Target="https://openaccess.mpg.de/Berlin-Declaration" TargetMode="External"/><Relationship Id="rId81" Type="http://schemas.openxmlformats.org/officeDocument/2006/relationships/hyperlink" Target="https://ourworldindata.org/" TargetMode="External"/><Relationship Id="rId86" Type="http://schemas.openxmlformats.org/officeDocument/2006/relationships/image" Target="media/image22.png"/><Relationship Id="rId130" Type="http://schemas.openxmlformats.org/officeDocument/2006/relationships/hyperlink" Target="http://data.devinit.org/" TargetMode="External"/><Relationship Id="rId135" Type="http://schemas.openxmlformats.org/officeDocument/2006/relationships/hyperlink" Target="https://datacatalog.worldbank.org/search" TargetMode="External"/><Relationship Id="rId151" Type="http://schemas.openxmlformats.org/officeDocument/2006/relationships/hyperlink" Target="http://apps.who.int/gho/data/node.resources.api?lang=en" TargetMode="External"/><Relationship Id="rId156" Type="http://schemas.openxmlformats.org/officeDocument/2006/relationships/hyperlink" Target="https://data.oecd.org/api/" TargetMode="External"/><Relationship Id="rId177" Type="http://schemas.openxmlformats.org/officeDocument/2006/relationships/hyperlink" Target="http://webenemasuno.linkeddata.es/index.html" TargetMode="External"/><Relationship Id="rId198" Type="http://schemas.openxmlformats.org/officeDocument/2006/relationships/image" Target="media/image60.png"/><Relationship Id="rId172" Type="http://schemas.openxmlformats.org/officeDocument/2006/relationships/hyperlink" Target="https://datatransferproject.dev/" TargetMode="External"/><Relationship Id="rId193" Type="http://schemas.openxmlformats.org/officeDocument/2006/relationships/image" Target="media/image56.png"/><Relationship Id="rId202" Type="http://schemas.openxmlformats.org/officeDocument/2006/relationships/image" Target="media/image64.png"/><Relationship Id="rId207" Type="http://schemas.openxmlformats.org/officeDocument/2006/relationships/hyperlink" Target="https://www.developlocal.org/the-africa-open-data-fellowship-launched-in-four-african-countries/" TargetMode="External"/><Relationship Id="rId223" Type="http://schemas.openxmlformats.org/officeDocument/2006/relationships/image" Target="media/image80.png"/><Relationship Id="rId228" Type="http://schemas.openxmlformats.org/officeDocument/2006/relationships/hyperlink" Target="https://www.kaggle.com/competitions" TargetMode="External"/><Relationship Id="rId244" Type="http://schemas.openxmlformats.org/officeDocument/2006/relationships/hyperlink" Target="https://arxiv.org/pdf/1905.08819.pdf" TargetMode="External"/><Relationship Id="rId249" Type="http://schemas.openxmlformats.org/officeDocument/2006/relationships/hyperlink" Target="https://www.ftc.gov/system/files/documents/reports/data-brokers-call-transparency-accountability-report-federal-trade-commission-may-2014/140527databrokerreport.pdf" TargetMode="External"/><Relationship Id="rId13" Type="http://schemas.openxmlformats.org/officeDocument/2006/relationships/hyperlink" Target="https://public.resource.org/8_principles.html" TargetMode="External"/><Relationship Id="rId18" Type="http://schemas.openxmlformats.org/officeDocument/2006/relationships/image" Target="media/image6.png"/><Relationship Id="rId39" Type="http://schemas.openxmlformats.org/officeDocument/2006/relationships/image" Target="media/image18.svg"/><Relationship Id="rId109" Type="http://schemas.openxmlformats.org/officeDocument/2006/relationships/hyperlink" Target="https://www.gutenberg.org/" TargetMode="External"/><Relationship Id="rId34" Type="http://schemas.openxmlformats.org/officeDocument/2006/relationships/image" Target="media/image13.png"/><Relationship Id="rId50" Type="http://schemas.openxmlformats.org/officeDocument/2006/relationships/hyperlink" Target="https://luca-d3.com/es/data-for-good" TargetMode="External"/><Relationship Id="rId55" Type="http://schemas.openxmlformats.org/officeDocument/2006/relationships/hyperlink" Target="https://www.advaneo.de/en" TargetMode="External"/><Relationship Id="rId76" Type="http://schemas.openxmlformats.org/officeDocument/2006/relationships/hyperlink" Target="http://livinglab.mit.edu/" TargetMode="External"/><Relationship Id="rId97" Type="http://schemas.openxmlformats.org/officeDocument/2006/relationships/image" Target="media/image27.svg"/><Relationship Id="rId104" Type="http://schemas.openxmlformats.org/officeDocument/2006/relationships/hyperlink" Target="https://chroniclingamerica.loc.gov/about/api/" TargetMode="External"/><Relationship Id="rId120" Type="http://schemas.openxmlformats.org/officeDocument/2006/relationships/hyperlink" Target="https://iatistandard.org/en/" TargetMode="External"/><Relationship Id="rId125" Type="http://schemas.openxmlformats.org/officeDocument/2006/relationships/hyperlink" Target="https://www.adb.org/data/main" TargetMode="External"/><Relationship Id="rId141" Type="http://schemas.openxmlformats.org/officeDocument/2006/relationships/hyperlink" Target="https://datahelpdesk.worldbank.org/knowledgebase/articles/889386-developer-information-overview" TargetMode="External"/><Relationship Id="rId146" Type="http://schemas.openxmlformats.org/officeDocument/2006/relationships/image" Target="media/image43.png"/><Relationship Id="rId167" Type="http://schemas.openxmlformats.org/officeDocument/2006/relationships/hyperlink" Target="https://solid.inrupt.com/how-it-works" TargetMode="External"/><Relationship Id="rId188" Type="http://schemas.openxmlformats.org/officeDocument/2006/relationships/image" Target="media/image51.svg"/><Relationship Id="rId7" Type="http://schemas.openxmlformats.org/officeDocument/2006/relationships/endnotes" Target="endnotes.xml"/><Relationship Id="rId71" Type="http://schemas.openxmlformats.org/officeDocument/2006/relationships/hyperlink" Target="https://www.boe.es/buscar/pdf/2011/BOE-A-2011-9617-consolidado.pdf" TargetMode="External"/><Relationship Id="rId92" Type="http://schemas.openxmlformats.org/officeDocument/2006/relationships/image" Target="media/image25.svg"/><Relationship Id="rId162" Type="http://schemas.openxmlformats.org/officeDocument/2006/relationships/hyperlink" Target="https://www.imf.org/en/Data" TargetMode="External"/><Relationship Id="rId183" Type="http://schemas.openxmlformats.org/officeDocument/2006/relationships/hyperlink" Target="https://theodi.org/" TargetMode="External"/><Relationship Id="rId213" Type="http://schemas.openxmlformats.org/officeDocument/2006/relationships/image" Target="media/image73.svg"/><Relationship Id="rId218" Type="http://schemas.openxmlformats.org/officeDocument/2006/relationships/image" Target="media/image76.png"/><Relationship Id="rId234" Type="http://schemas.openxmlformats.org/officeDocument/2006/relationships/hyperlink" Target="https://www.zabala.eu/en/projects/fiware-finodex" TargetMode="External"/><Relationship Id="rId239" Type="http://schemas.openxmlformats.org/officeDocument/2006/relationships/hyperlink" Target="https://edincubator.eu/startups-2018/" TargetMode="External"/><Relationship Id="rId2" Type="http://schemas.openxmlformats.org/officeDocument/2006/relationships/numbering" Target="numbering.xml"/><Relationship Id="rId29" Type="http://schemas.openxmlformats.org/officeDocument/2006/relationships/hyperlink" Target="https://www.globalreporting.org/" TargetMode="External"/><Relationship Id="rId250" Type="http://schemas.openxmlformats.org/officeDocument/2006/relationships/hyperlink" Target="https://docs.google.com/document/d/118RqyUAWP3WIyyCO4iLUT3oOobnYJGibEhspr2v87jg/edit" TargetMode="External"/><Relationship Id="rId255" Type="http://schemas.openxmlformats.org/officeDocument/2006/relationships/hyperlink" Target="https://ec.europa.eu/research/participants/data/ref/h2020/grants_manual/hi/oa_pilot/h2020-hi-oa-pilot-guide_en.pdf" TargetMode="External"/><Relationship Id="rId24" Type="http://schemas.openxmlformats.org/officeDocument/2006/relationships/hyperlink" Target="https://www.bankingsupervision.europa.eu/banking/statistics/html/index.en.html" TargetMode="External"/><Relationship Id="rId40" Type="http://schemas.openxmlformats.org/officeDocument/2006/relationships/image" Target="media/image19.png"/><Relationship Id="rId45" Type="http://schemas.openxmlformats.org/officeDocument/2006/relationships/hyperlink" Target="https://dataforgood.fb.com/" TargetMode="External"/><Relationship Id="rId66" Type="http://schemas.openxmlformats.org/officeDocument/2006/relationships/hyperlink" Target="https://scielo.org/" TargetMode="External"/><Relationship Id="rId87" Type="http://schemas.openxmlformats.org/officeDocument/2006/relationships/image" Target="media/image23.svg"/><Relationship Id="rId110" Type="http://schemas.openxmlformats.org/officeDocument/2006/relationships/hyperlink" Target="https://bnb.data.bl.uk" TargetMode="External"/><Relationship Id="rId115" Type="http://schemas.openxmlformats.org/officeDocument/2006/relationships/image" Target="media/image36.svg"/><Relationship Id="rId131" Type="http://schemas.openxmlformats.org/officeDocument/2006/relationships/hyperlink" Target="http://www.devdatalab.org/" TargetMode="External"/><Relationship Id="rId136" Type="http://schemas.openxmlformats.org/officeDocument/2006/relationships/hyperlink" Target="https://datacatalog.worldbank.org/collections" TargetMode="External"/><Relationship Id="rId157" Type="http://schemas.openxmlformats.org/officeDocument/2006/relationships/hyperlink" Target="https://stats.oecd.org/Index.aspx" TargetMode="External"/><Relationship Id="rId178" Type="http://schemas.openxmlformats.org/officeDocument/2006/relationships/image" Target="media/image47.jpg"/><Relationship Id="rId61" Type="http://schemas.openxmlformats.org/officeDocument/2006/relationships/hyperlink" Target="https://www.vice.com/en_us/article/bjpx3w/what-are-data-brokers-and-how-to-stop-my-private-data-collection" TargetMode="External"/><Relationship Id="rId82" Type="http://schemas.openxmlformats.org/officeDocument/2006/relationships/hyperlink" Target="https://www.thedatalab.com/about-us/" TargetMode="External"/><Relationship Id="rId152" Type="http://schemas.openxmlformats.org/officeDocument/2006/relationships/hyperlink" Target="https://www.who.int/gho/publications/es/" TargetMode="External"/><Relationship Id="rId173" Type="http://schemas.openxmlformats.org/officeDocument/2006/relationships/hyperlink" Target="https://planet.openstreetmap.org/" TargetMode="External"/><Relationship Id="rId194" Type="http://schemas.openxmlformats.org/officeDocument/2006/relationships/image" Target="media/image57.svg"/><Relationship Id="rId199" Type="http://schemas.openxmlformats.org/officeDocument/2006/relationships/image" Target="media/image61.svg"/><Relationship Id="rId203" Type="http://schemas.openxmlformats.org/officeDocument/2006/relationships/image" Target="media/image65.svg"/><Relationship Id="rId208" Type="http://schemas.openxmlformats.org/officeDocument/2006/relationships/image" Target="media/image68.png"/><Relationship Id="rId229" Type="http://schemas.openxmlformats.org/officeDocument/2006/relationships/hyperlink" Target="https://www.kaggle.com/datasets" TargetMode="External"/><Relationship Id="rId19" Type="http://schemas.openxmlformats.org/officeDocument/2006/relationships/image" Target="media/image7.svg"/><Relationship Id="rId224" Type="http://schemas.openxmlformats.org/officeDocument/2006/relationships/image" Target="media/image81.svg"/><Relationship Id="rId240" Type="http://schemas.openxmlformats.org/officeDocument/2006/relationships/hyperlink" Target="https://www.technologyreview.com/s/612588/its-time-for-a-bill-of-data-rights/" TargetMode="External"/><Relationship Id="rId245" Type="http://schemas.openxmlformats.org/officeDocument/2006/relationships/hyperlink" Target="https://ec.europa.eu/digital-single-market/en/news/study-personal-data-stores-conducted-cambridge-university-judge-business-school" TargetMode="External"/><Relationship Id="rId14" Type="http://schemas.openxmlformats.org/officeDocument/2006/relationships/hyperlink" Target="https://opendatacharter.net/principles/" TargetMode="External"/><Relationship Id="rId30" Type="http://schemas.openxmlformats.org/officeDocument/2006/relationships/hyperlink" Target="https://www.un.org/sustainabledevelopment/" TargetMode="External"/><Relationship Id="rId35" Type="http://schemas.openxmlformats.org/officeDocument/2006/relationships/image" Target="media/image14.svg"/><Relationship Id="rId56" Type="http://schemas.openxmlformats.org/officeDocument/2006/relationships/hyperlink" Target="https://www.dawex.com/en/" TargetMode="External"/><Relationship Id="rId77" Type="http://schemas.openxmlformats.org/officeDocument/2006/relationships/hyperlink" Target="https://datalab.stanford.edu/" TargetMode="External"/><Relationship Id="rId100" Type="http://schemas.openxmlformats.org/officeDocument/2006/relationships/hyperlink" Target="https://babelnet.org/" TargetMode="External"/><Relationship Id="rId105" Type="http://schemas.openxmlformats.org/officeDocument/2006/relationships/hyperlink" Target="https://betweenourworlds.org/" TargetMode="External"/><Relationship Id="rId126" Type="http://schemas.openxmlformats.org/officeDocument/2006/relationships/hyperlink" Target="http://dataportal.opendataforafrica.org/data/" TargetMode="External"/><Relationship Id="rId147" Type="http://schemas.openxmlformats.org/officeDocument/2006/relationships/hyperlink" Target="https://www.who.int/data/gho" TargetMode="External"/><Relationship Id="rId168" Type="http://schemas.openxmlformats.org/officeDocument/2006/relationships/hyperlink" Target="https://digi.me/" TargetMode="External"/><Relationship Id="rId8" Type="http://schemas.openxmlformats.org/officeDocument/2006/relationships/image" Target="media/image1.jpeg"/><Relationship Id="rId51" Type="http://schemas.openxmlformats.org/officeDocument/2006/relationships/hyperlink" Target="https://data.iota.org/" TargetMode="External"/><Relationship Id="rId72" Type="http://schemas.openxmlformats.org/officeDocument/2006/relationships/hyperlink" Target="https://buscador.recolecta.fecyt.es/" TargetMode="External"/><Relationship Id="rId93" Type="http://schemas.openxmlformats.org/officeDocument/2006/relationships/hyperlink" Target="https://www.drugbank.ca/" TargetMode="External"/><Relationship Id="rId98" Type="http://schemas.openxmlformats.org/officeDocument/2006/relationships/hyperlink" Target="https://panlex.org/" TargetMode="External"/><Relationship Id="rId121" Type="http://schemas.openxmlformats.org/officeDocument/2006/relationships/hyperlink" Target="https://iatistandard.org/en/iati-standard/" TargetMode="External"/><Relationship Id="rId142" Type="http://schemas.openxmlformats.org/officeDocument/2006/relationships/image" Target="media/image42.emf"/><Relationship Id="rId163" Type="http://schemas.openxmlformats.org/officeDocument/2006/relationships/hyperlink" Target="https://www.imf.org/en/Data" TargetMode="External"/><Relationship Id="rId184" Type="http://schemas.openxmlformats.org/officeDocument/2006/relationships/hyperlink" Target="https://docs.google.com/document/d/118RqyUAWP3WIyyCO4iLUT3oOobnYJGibEhspr2v87jg/edit" TargetMode="External"/><Relationship Id="rId189" Type="http://schemas.openxmlformats.org/officeDocument/2006/relationships/image" Target="media/image52.png"/><Relationship Id="rId219" Type="http://schemas.openxmlformats.org/officeDocument/2006/relationships/image" Target="media/image77.svg"/><Relationship Id="rId3" Type="http://schemas.openxmlformats.org/officeDocument/2006/relationships/styles" Target="styles.xml"/><Relationship Id="rId214" Type="http://schemas.openxmlformats.org/officeDocument/2006/relationships/image" Target="media/image74.png"/><Relationship Id="rId230" Type="http://schemas.openxmlformats.org/officeDocument/2006/relationships/hyperlink" Target="https://datos.gob.es/en/documentacion/guide-accelerate-data-based-businesses" TargetMode="External"/><Relationship Id="rId235" Type="http://schemas.openxmlformats.org/officeDocument/2006/relationships/hyperlink" Target="https://www.thedataincubator.com/" TargetMode="External"/><Relationship Id="rId251" Type="http://schemas.openxmlformats.org/officeDocument/2006/relationships/hyperlink" Target="https://static1.squarespace.com/static/57ad3087579fb3721152748f/t/58aea6b217bffc1271903b2e/1487840951842/Data+Commons+Blueprint+V1.3.pdf" TargetMode="External"/><Relationship Id="rId256" Type="http://schemas.openxmlformats.org/officeDocument/2006/relationships/fontTable" Target="fontTable.xml"/><Relationship Id="rId25" Type="http://schemas.openxmlformats.org/officeDocument/2006/relationships/hyperlink" Target="https://www.boe.es/buscar/doc.php?id=DOUE-L-2004-80727" TargetMode="External"/><Relationship Id="rId46" Type="http://schemas.openxmlformats.org/officeDocument/2006/relationships/hyperlink" Target="https://dataforgood.fb.com/tools/disaster-maps/" TargetMode="External"/><Relationship Id="rId67" Type="http://schemas.openxmlformats.org/officeDocument/2006/relationships/hyperlink" Target="http://roar.eprints.org/" TargetMode="External"/><Relationship Id="rId116" Type="http://schemas.openxmlformats.org/officeDocument/2006/relationships/image" Target="media/image37.png"/><Relationship Id="rId137" Type="http://schemas.openxmlformats.org/officeDocument/2006/relationships/hyperlink" Target="http://datatopics.worldbank.org/consumption/" TargetMode="External"/><Relationship Id="rId158" Type="http://schemas.openxmlformats.org/officeDocument/2006/relationships/hyperlink" Target="http://www.oecd.org/statistics/statisticalresources.htm" TargetMode="External"/><Relationship Id="rId20" Type="http://schemas.openxmlformats.org/officeDocument/2006/relationships/image" Target="media/image8.jpg"/><Relationship Id="rId41" Type="http://schemas.openxmlformats.org/officeDocument/2006/relationships/image" Target="media/image20.svg"/><Relationship Id="rId62" Type="http://schemas.openxmlformats.org/officeDocument/2006/relationships/image" Target="media/image21.jpg"/><Relationship Id="rId83" Type="http://schemas.openxmlformats.org/officeDocument/2006/relationships/hyperlink" Target="https://www.sdgdatalabs.org/data/" TargetMode="External"/><Relationship Id="rId88" Type="http://schemas.openxmlformats.org/officeDocument/2006/relationships/hyperlink" Target="http://www.geonames.org/" TargetMode="External"/><Relationship Id="rId111" Type="http://schemas.openxmlformats.org/officeDocument/2006/relationships/image" Target="media/image32.jpg"/><Relationship Id="rId132" Type="http://schemas.openxmlformats.org/officeDocument/2006/relationships/hyperlink" Target="https://unstats.un.org/sdgs/indicators/database/" TargetMode="External"/><Relationship Id="rId153" Type="http://schemas.openxmlformats.org/officeDocument/2006/relationships/image" Target="media/image44.emf"/><Relationship Id="rId174" Type="http://schemas.openxmlformats.org/officeDocument/2006/relationships/hyperlink" Target="https://www.wikidata.org/wiki/Wikidata:Main_Page" TargetMode="External"/><Relationship Id="rId179" Type="http://schemas.openxmlformats.org/officeDocument/2006/relationships/hyperlink" Target="https://lemo-h2020.eu/overview" TargetMode="External"/><Relationship Id="rId195" Type="http://schemas.openxmlformats.org/officeDocument/2006/relationships/hyperlink" Target="https://datacollaboratives.org/explorer.html" TargetMode="External"/><Relationship Id="rId209" Type="http://schemas.openxmlformats.org/officeDocument/2006/relationships/image" Target="media/image69.svg"/><Relationship Id="rId190" Type="http://schemas.openxmlformats.org/officeDocument/2006/relationships/image" Target="media/image53.svg"/><Relationship Id="rId204" Type="http://schemas.openxmlformats.org/officeDocument/2006/relationships/image" Target="media/image66.png"/><Relationship Id="rId220" Type="http://schemas.openxmlformats.org/officeDocument/2006/relationships/image" Target="media/image78.png"/><Relationship Id="rId225" Type="http://schemas.openxmlformats.org/officeDocument/2006/relationships/hyperlink" Target="https://hackathon.guide/" TargetMode="External"/><Relationship Id="rId241" Type="http://schemas.openxmlformats.org/officeDocument/2006/relationships/hyperlink" Target="https://cotec.es/media/Guiadatosabiertosenelsectorempresarial_COTEC.pdf" TargetMode="External"/><Relationship Id="rId246" Type="http://schemas.openxmlformats.org/officeDocument/2006/relationships/hyperlink" Target="https://ieeexplore.ieee.org/document/6336755" TargetMode="External"/><Relationship Id="rId15" Type="http://schemas.openxmlformats.org/officeDocument/2006/relationships/hyperlink" Target="https://datos.gob.es/es/noticia/los-datos-abiertos-como-una-herramienta-de-gobernanza" TargetMode="External"/><Relationship Id="rId36" Type="http://schemas.openxmlformats.org/officeDocument/2006/relationships/image" Target="media/image15.png"/><Relationship Id="rId57" Type="http://schemas.openxmlformats.org/officeDocument/2006/relationships/hyperlink" Target="https://data.humdata.org/" TargetMode="External"/><Relationship Id="rId106" Type="http://schemas.openxmlformats.org/officeDocument/2006/relationships/image" Target="media/image30.png"/><Relationship Id="rId127" Type="http://schemas.openxmlformats.org/officeDocument/2006/relationships/hyperlink" Target="https://databank.worldbank.org/source/world-development-indicators" TargetMode="External"/><Relationship Id="rId10" Type="http://schemas.openxmlformats.org/officeDocument/2006/relationships/footer" Target="footer1.xml"/><Relationship Id="rId31" Type="http://schemas.openxmlformats.org/officeDocument/2006/relationships/hyperlink" Target="https://www.boe.es/buscar/doc.php?id=BOE-A-2018-17989" TargetMode="External"/><Relationship Id="rId52" Type="http://schemas.openxmlformats.org/officeDocument/2006/relationships/hyperlink" Target="https://www.qlik.com/us/products/qlik-data-market" TargetMode="External"/><Relationship Id="rId73" Type="http://schemas.openxmlformats.org/officeDocument/2006/relationships/hyperlink" Target="https://ec.europa.eu/research/openscience/index.cfm?pg=openaccess" TargetMode="External"/><Relationship Id="rId78" Type="http://schemas.openxmlformats.org/officeDocument/2006/relationships/hyperlink" Target="https://www.pewresearch.org/methods/about-data-labs/" TargetMode="External"/><Relationship Id="rId94" Type="http://schemas.openxmlformats.org/officeDocument/2006/relationships/hyperlink" Target="https://bioportal.bioontology.org/" TargetMode="External"/><Relationship Id="rId99" Type="http://schemas.openxmlformats.org/officeDocument/2006/relationships/hyperlink" Target="https://phoible.org/" TargetMode="External"/><Relationship Id="rId101" Type="http://schemas.openxmlformats.org/officeDocument/2006/relationships/image" Target="media/image28.png"/><Relationship Id="rId122" Type="http://schemas.openxmlformats.org/officeDocument/2006/relationships/hyperlink" Target="https://iatistandard.org/en/using-data/" TargetMode="External"/><Relationship Id="rId143" Type="http://schemas.openxmlformats.org/officeDocument/2006/relationships/hyperlink" Target="http://data.un.org/Host.aspx?Content=API" TargetMode="External"/><Relationship Id="rId148" Type="http://schemas.openxmlformats.org/officeDocument/2006/relationships/hyperlink" Target="https://www.who.int/gho/en/" TargetMode="External"/><Relationship Id="rId164" Type="http://schemas.openxmlformats.org/officeDocument/2006/relationships/hyperlink" Target="https://www.imf.org/en/Data" TargetMode="External"/><Relationship Id="rId169" Type="http://schemas.openxmlformats.org/officeDocument/2006/relationships/hyperlink" Target="https://openpds.media.mit.edu/" TargetMode="External"/><Relationship Id="rId185" Type="http://schemas.openxmlformats.org/officeDocument/2006/relationships/image" Target="media/image48.png"/><Relationship Id="rId4" Type="http://schemas.openxmlformats.org/officeDocument/2006/relationships/settings" Target="settings.xml"/><Relationship Id="rId9" Type="http://schemas.openxmlformats.org/officeDocument/2006/relationships/header" Target="header1.xml"/><Relationship Id="rId180" Type="http://schemas.openxmlformats.org/officeDocument/2006/relationships/hyperlink" Target="https://www.nih.gov/news-events/news-releases/nih-facilitates-first-tribal-data-sharing-agreement-navajo-nation" TargetMode="External"/><Relationship Id="rId210" Type="http://schemas.openxmlformats.org/officeDocument/2006/relationships/image" Target="media/image70.png"/><Relationship Id="rId215" Type="http://schemas.openxmlformats.org/officeDocument/2006/relationships/image" Target="media/image75.svg"/><Relationship Id="rId236" Type="http://schemas.openxmlformats.org/officeDocument/2006/relationships/hyperlink" Target="https://edincubator.eu/" TargetMode="External"/><Relationship Id="rId257" Type="http://schemas.openxmlformats.org/officeDocument/2006/relationships/theme" Target="theme/theme1.xml"/><Relationship Id="rId26" Type="http://schemas.openxmlformats.org/officeDocument/2006/relationships/hyperlink" Target="https://ec.europa.eu/eurostat/web/euro-indicators/international-trade" TargetMode="External"/><Relationship Id="rId231" Type="http://schemas.openxmlformats.org/officeDocument/2006/relationships/hyperlink" Target="http://dataeliteventures.com/" TargetMode="External"/><Relationship Id="rId252" Type="http://schemas.openxmlformats.org/officeDocument/2006/relationships/hyperlink" Target="http://datacollaboratives.org/static/files/data-collaboratives-intro.pdf" TargetMode="External"/><Relationship Id="rId47" Type="http://schemas.openxmlformats.org/officeDocument/2006/relationships/hyperlink" Target="https://dataforgood.fb.com/tools/electrical-distribution-grid-maps/" TargetMode="External"/><Relationship Id="rId68" Type="http://schemas.openxmlformats.org/officeDocument/2006/relationships/hyperlink" Target="https://doaj.org/" TargetMode="External"/><Relationship Id="rId89" Type="http://schemas.openxmlformats.org/officeDocument/2006/relationships/hyperlink" Target="http://web.iodp.tamu.edu/OVERVIEW/" TargetMode="External"/><Relationship Id="rId112" Type="http://schemas.openxmlformats.org/officeDocument/2006/relationships/image" Target="media/image33.png"/><Relationship Id="rId133" Type="http://schemas.openxmlformats.org/officeDocument/2006/relationships/image" Target="media/image41.png"/><Relationship Id="rId154" Type="http://schemas.openxmlformats.org/officeDocument/2006/relationships/hyperlink" Target="https://data.oecd.org/searchresults/?r=+f/type/datasets" TargetMode="External"/><Relationship Id="rId175" Type="http://schemas.openxmlformats.org/officeDocument/2006/relationships/hyperlink" Target="https://es.openfoodfacts.org/" TargetMode="External"/><Relationship Id="rId196" Type="http://schemas.openxmlformats.org/officeDocument/2006/relationships/image" Target="media/image58.png"/><Relationship Id="rId200" Type="http://schemas.openxmlformats.org/officeDocument/2006/relationships/image" Target="media/image62.png"/><Relationship Id="rId16" Type="http://schemas.openxmlformats.org/officeDocument/2006/relationships/image" Target="media/image4.png"/><Relationship Id="rId221" Type="http://schemas.openxmlformats.org/officeDocument/2006/relationships/image" Target="media/image79.svg"/><Relationship Id="rId242" Type="http://schemas.openxmlformats.org/officeDocument/2006/relationships/hyperlink" Target="http://webfoundation.org/docs/2018/01/Final_Data-for-development_Whats-next_Studie_EN.pdf" TargetMode="External"/><Relationship Id="rId37" Type="http://schemas.openxmlformats.org/officeDocument/2006/relationships/image" Target="media/image16.svg"/><Relationship Id="rId58" Type="http://schemas.openxmlformats.org/officeDocument/2006/relationships/hyperlink" Target="http://radar.oreilly.com/2012/03/data-markets-survey.html" TargetMode="External"/><Relationship Id="rId79" Type="http://schemas.openxmlformats.org/officeDocument/2006/relationships/hyperlink" Target="https://www.pewresearch.org/topics/data-labs/" TargetMode="External"/><Relationship Id="rId102" Type="http://schemas.openxmlformats.org/officeDocument/2006/relationships/image" Target="media/image29.svg"/><Relationship Id="rId123" Type="http://schemas.openxmlformats.org/officeDocument/2006/relationships/hyperlink" Target="http://www.threesixtygiving.org/support/standard/" TargetMode="External"/><Relationship Id="rId144" Type="http://schemas.openxmlformats.org/officeDocument/2006/relationships/hyperlink" Target="https://unstats.un.org/unsd/databases.htm" TargetMode="External"/><Relationship Id="rId90" Type="http://schemas.openxmlformats.org/officeDocument/2006/relationships/hyperlink" Target="https://pleiades.stoa.org/" TargetMode="External"/><Relationship Id="rId165" Type="http://schemas.openxmlformats.org/officeDocument/2006/relationships/hyperlink" Target="https://www.imf.org/external/datamapper/NGDP_RPCH@WEO/OEMDC/ADVEC/WEOWORLD" TargetMode="External"/><Relationship Id="rId186" Type="http://schemas.openxmlformats.org/officeDocument/2006/relationships/image" Target="media/image49.svg"/><Relationship Id="rId211" Type="http://schemas.openxmlformats.org/officeDocument/2006/relationships/image" Target="media/image71.svg"/><Relationship Id="rId232" Type="http://schemas.openxmlformats.org/officeDocument/2006/relationships/hyperlink" Target="https://opendataincubator.eu/" TargetMode="External"/><Relationship Id="rId253" Type="http://schemas.openxmlformats.org/officeDocument/2006/relationships/hyperlink" Target="http://legacy.earlham.edu/~peters/fos/overview.htm" TargetMode="External"/><Relationship Id="rId27" Type="http://schemas.openxmlformats.org/officeDocument/2006/relationships/hyperlink" Target="https://www.boe.es/buscar/act.php?id=BOE-A-2013-12887" TargetMode="External"/><Relationship Id="rId48" Type="http://schemas.openxmlformats.org/officeDocument/2006/relationships/hyperlink" Target="https://dataforgood.fb.com/tools/population-density-maps/" TargetMode="External"/><Relationship Id="rId69" Type="http://schemas.openxmlformats.org/officeDocument/2006/relationships/hyperlink" Target="http://oapen.org/home" TargetMode="External"/><Relationship Id="rId113" Type="http://schemas.openxmlformats.org/officeDocument/2006/relationships/image" Target="media/image34.svg"/><Relationship Id="rId134" Type="http://schemas.openxmlformats.org/officeDocument/2006/relationships/hyperlink" Target="https://datacatalog.worldbank.org/" TargetMode="External"/><Relationship Id="rId80" Type="http://schemas.openxmlformats.org/officeDocument/2006/relationships/hyperlink" Target="https://global-change-data-lab.org/" TargetMode="External"/><Relationship Id="rId155" Type="http://schemas.openxmlformats.org/officeDocument/2006/relationships/hyperlink" Target="https://data.oecd.org/searchresults/?hf=20&amp;b=0&amp;r=%2Bf%2Ftype%2Fdatasets&amp;r=%2Bf%2Ftype%2Fdatasets%2Fapi+access&amp;l=en&amp;s=score" TargetMode="External"/><Relationship Id="rId176" Type="http://schemas.openxmlformats.org/officeDocument/2006/relationships/hyperlink" Target="https://africaopendata.org/" TargetMode="External"/><Relationship Id="rId197" Type="http://schemas.openxmlformats.org/officeDocument/2006/relationships/image" Target="media/image59.svg"/><Relationship Id="rId201" Type="http://schemas.openxmlformats.org/officeDocument/2006/relationships/image" Target="media/image63.svg"/><Relationship Id="rId222" Type="http://schemas.openxmlformats.org/officeDocument/2006/relationships/hyperlink" Target="http://theleanstartup.com/principles" TargetMode="External"/><Relationship Id="rId243" Type="http://schemas.openxmlformats.org/officeDocument/2006/relationships/hyperlink" Target="https://eur-lex.europa.eu/legal-content/EN/TXT/HTML/?uri=CELEX:52018SC0125&amp;from=EN" TargetMode="External"/><Relationship Id="rId17" Type="http://schemas.openxmlformats.org/officeDocument/2006/relationships/image" Target="media/image5.svg"/><Relationship Id="rId38" Type="http://schemas.openxmlformats.org/officeDocument/2006/relationships/image" Target="media/image17.png"/><Relationship Id="rId59" Type="http://schemas.openxmlformats.org/officeDocument/2006/relationships/hyperlink" Target="https://www.mckinsey.com/business-functions/digital-mckinsey/our-insights/creating-a-successful-internet-of-things-data-marketplace" TargetMode="External"/><Relationship Id="rId103" Type="http://schemas.openxmlformats.org/officeDocument/2006/relationships/hyperlink" Target="http://dbtune.org/" TargetMode="External"/><Relationship Id="rId124" Type="http://schemas.openxmlformats.org/officeDocument/2006/relationships/hyperlink" Target="https://data.iadb.or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EFFF99-F105-418A-9062-5840BFCD0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3887</TotalTime>
  <Pages>42</Pages>
  <Words>11459</Words>
  <Characters>63025</Characters>
  <Application>Microsoft Office Word</Application>
  <DocSecurity>0</DocSecurity>
  <Lines>525</Lines>
  <Paragraphs>148</Paragraphs>
  <ScaleCrop>false</ScaleCrop>
  <HeadingPairs>
    <vt:vector size="2" baseType="variant">
      <vt:variant>
        <vt:lpstr>Título</vt:lpstr>
      </vt:variant>
      <vt:variant>
        <vt:i4>1</vt:i4>
      </vt:variant>
    </vt:vector>
  </HeadingPairs>
  <TitlesOfParts>
    <vt:vector size="1" baseType="lpstr">
      <vt:lpstr>Cómo los datos abiertos pueden impulsar el sector agrícola y forestal</vt:lpstr>
    </vt:vector>
  </TitlesOfParts>
  <Company/>
  <LinksUpToDate>false</LinksUpToDate>
  <CharactersWithSpaces>74336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Cómo los datos abiertos pueden impulsar el sector agrícola y forestal</dc:title>
  <dc:subject/>
  <dc:creator>Laura Castillo</dc:creator>
  <dc:description/>
  <cp:lastModifiedBy>Laura Castillo Martínez</cp:lastModifiedBy>
  <cp:revision>15</cp:revision>
  <cp:lastPrinted>2020-03-04T10:10:00Z</cp:lastPrinted>
  <dcterms:created xsi:type="dcterms:W3CDTF">2020-02-27T14:32:00Z</dcterms:created>
  <dcterms:modified xsi:type="dcterms:W3CDTF">2020-03-04T10:11:00Z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