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F953" w14:textId="77777777" w:rsidR="00012BC3" w:rsidRPr="00767A97" w:rsidRDefault="00012BC3" w:rsidP="00743C01">
      <w:pPr>
        <w:pStyle w:val="Ttulo2"/>
        <w:spacing w:line="276" w:lineRule="auto"/>
        <w:jc w:val="center"/>
        <w:rPr>
          <w:rFonts w:ascii="Calibri" w:hAnsi="Calibri" w:cs="Calibri"/>
          <w:b/>
          <w:bCs/>
        </w:rPr>
      </w:pPr>
      <w:bookmarkStart w:id="0" w:name="_Hlk170733003"/>
      <w:bookmarkStart w:id="1" w:name="_Hlk167702298"/>
      <w:bookmarkEnd w:id="0"/>
      <w:r w:rsidRPr="00767A97">
        <w:rPr>
          <w:rFonts w:ascii="Calibri" w:hAnsi="Calibri" w:cs="Calibri"/>
          <w:b/>
          <w:bCs/>
        </w:rPr>
        <w:t>Cómo utilizar las OGC API para potenciar la interoperabilidad de los datos geoespaciales</w:t>
      </w:r>
    </w:p>
    <w:p w14:paraId="50579F03" w14:textId="77777777" w:rsidR="00767A97" w:rsidRPr="00767A97" w:rsidRDefault="00767A97" w:rsidP="00743C01">
      <w:pPr>
        <w:pStyle w:val="Ttulo2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767A97">
        <w:rPr>
          <w:rFonts w:ascii="Calibri" w:hAnsi="Calibri" w:cs="Calibri"/>
          <w:b/>
          <w:bCs/>
          <w:sz w:val="28"/>
          <w:szCs w:val="28"/>
        </w:rPr>
        <w:t>Resumen ejecutivo</w:t>
      </w:r>
    </w:p>
    <w:p w14:paraId="150FADC0" w14:textId="53BEB871" w:rsidR="007314CE" w:rsidRPr="00767A97" w:rsidRDefault="007314CE" w:rsidP="00743C01">
      <w:pPr>
        <w:spacing w:line="276" w:lineRule="auto"/>
        <w:rPr>
          <w:rFonts w:ascii="Calibri" w:hAnsi="Calibri" w:cs="Calibri"/>
          <w:lang w:eastAsia="es-ES"/>
        </w:rPr>
      </w:pPr>
      <w:r w:rsidRPr="00767A97">
        <w:rPr>
          <w:rFonts w:ascii="Calibri" w:hAnsi="Calibri" w:cs="Calibri"/>
          <w:lang w:eastAsia="es-ES"/>
        </w:rPr>
        <w:t xml:space="preserve">En un mundo donde la información geoespacial es crucial para abordar desafíos globales como el cambio climático y la gestión de recursos naturales, la interoperabilidad y la creación de estándares son esenciales. La </w:t>
      </w:r>
      <w:r w:rsidRPr="00767A97">
        <w:rPr>
          <w:rFonts w:ascii="Calibri" w:hAnsi="Calibri" w:cs="Calibri"/>
          <w:b/>
          <w:bCs/>
          <w:lang w:eastAsia="es-ES"/>
        </w:rPr>
        <w:t>interoperabilidad</w:t>
      </w:r>
      <w:r w:rsidRPr="00767A97">
        <w:rPr>
          <w:rFonts w:ascii="Calibri" w:hAnsi="Calibri" w:cs="Calibri"/>
          <w:lang w:eastAsia="es-ES"/>
        </w:rPr>
        <w:t xml:space="preserve"> facilita la colaboración entre organizaciones, impulsa la innovación y asegura que los datos sean accesibles y utilizables por todos. El </w:t>
      </w:r>
      <w:hyperlink r:id="rId10" w:history="1">
        <w:r w:rsidRPr="00767A97">
          <w:rPr>
            <w:rStyle w:val="Hipervnculo"/>
            <w:rFonts w:ascii="Calibri" w:eastAsiaTheme="majorEastAsia" w:hAnsi="Calibri" w:cs="Calibri"/>
            <w:b/>
            <w:bCs/>
            <w:lang w:eastAsia="es-ES"/>
          </w:rPr>
          <w:t xml:space="preserve">Open </w:t>
        </w:r>
        <w:proofErr w:type="spellStart"/>
        <w:r w:rsidRPr="00767A97">
          <w:rPr>
            <w:rStyle w:val="Hipervnculo"/>
            <w:rFonts w:ascii="Calibri" w:eastAsiaTheme="majorEastAsia" w:hAnsi="Calibri" w:cs="Calibri"/>
            <w:b/>
            <w:bCs/>
            <w:lang w:eastAsia="es-ES"/>
          </w:rPr>
          <w:t>Geospatial</w:t>
        </w:r>
        <w:proofErr w:type="spellEnd"/>
        <w:r w:rsidRPr="00767A97">
          <w:rPr>
            <w:rStyle w:val="Hipervnculo"/>
            <w:rFonts w:ascii="Calibri" w:eastAsiaTheme="majorEastAsia" w:hAnsi="Calibri" w:cs="Calibri"/>
            <w:b/>
            <w:bCs/>
            <w:lang w:eastAsia="es-ES"/>
          </w:rPr>
          <w:t xml:space="preserve"> </w:t>
        </w:r>
        <w:proofErr w:type="spellStart"/>
        <w:r w:rsidRPr="00767A97">
          <w:rPr>
            <w:rStyle w:val="Hipervnculo"/>
            <w:rFonts w:ascii="Calibri" w:eastAsiaTheme="majorEastAsia" w:hAnsi="Calibri" w:cs="Calibri"/>
            <w:b/>
            <w:bCs/>
            <w:lang w:eastAsia="es-ES"/>
          </w:rPr>
          <w:t>Consortium</w:t>
        </w:r>
        <w:proofErr w:type="spellEnd"/>
        <w:r w:rsidRPr="00767A97">
          <w:rPr>
            <w:rStyle w:val="Hipervnculo"/>
            <w:rFonts w:ascii="Calibri" w:eastAsiaTheme="majorEastAsia" w:hAnsi="Calibri" w:cs="Calibri"/>
            <w:lang w:eastAsia="es-ES"/>
          </w:rPr>
          <w:t xml:space="preserve"> (OGC)</w:t>
        </w:r>
      </w:hyperlink>
      <w:r w:rsidRPr="00767A97">
        <w:rPr>
          <w:rFonts w:ascii="Calibri" w:hAnsi="Calibri" w:cs="Calibri"/>
          <w:lang w:eastAsia="es-ES"/>
        </w:rPr>
        <w:t xml:space="preserve"> desempeña un papel vital en este contexto, </w:t>
      </w:r>
      <w:r w:rsidRPr="00767A97">
        <w:rPr>
          <w:rFonts w:ascii="Calibri" w:hAnsi="Calibri" w:cs="Calibri"/>
          <w:b/>
          <w:bCs/>
          <w:lang w:eastAsia="es-ES"/>
        </w:rPr>
        <w:t>desarrollando</w:t>
      </w:r>
      <w:r w:rsidRPr="00767A97">
        <w:rPr>
          <w:rFonts w:ascii="Calibri" w:hAnsi="Calibri" w:cs="Calibri"/>
          <w:lang w:eastAsia="es-ES"/>
        </w:rPr>
        <w:t xml:space="preserve"> </w:t>
      </w:r>
      <w:r w:rsidRPr="00767A97">
        <w:rPr>
          <w:rFonts w:ascii="Calibri" w:hAnsi="Calibri" w:cs="Calibri"/>
          <w:b/>
          <w:bCs/>
          <w:lang w:eastAsia="es-ES"/>
        </w:rPr>
        <w:t>estándares abiertos que garantizan la compatibilidad y el intercambio eficiente de datos geoespaciales</w:t>
      </w:r>
      <w:r w:rsidRPr="00767A97">
        <w:rPr>
          <w:rFonts w:ascii="Calibri" w:hAnsi="Calibri" w:cs="Calibri"/>
          <w:lang w:eastAsia="es-ES"/>
        </w:rPr>
        <w:t>.</w:t>
      </w:r>
    </w:p>
    <w:p w14:paraId="15895E98" w14:textId="77777777" w:rsidR="007314CE" w:rsidRPr="00767A97" w:rsidRDefault="007314CE" w:rsidP="00743C01">
      <w:pPr>
        <w:spacing w:line="276" w:lineRule="auto"/>
        <w:rPr>
          <w:rFonts w:ascii="Calibri" w:hAnsi="Calibri" w:cs="Calibri"/>
          <w:lang w:eastAsia="es-ES"/>
        </w:rPr>
      </w:pPr>
      <w:r w:rsidRPr="00767A97">
        <w:rPr>
          <w:rFonts w:ascii="Calibri" w:hAnsi="Calibri" w:cs="Calibri"/>
          <w:lang w:eastAsia="es-ES"/>
        </w:rPr>
        <w:t xml:space="preserve">Uno de los estándares que ofrece OGC son </w:t>
      </w:r>
      <w:hyperlink r:id="rId11" w:anchor="standards" w:history="1">
        <w:r w:rsidRPr="00767A97">
          <w:rPr>
            <w:rStyle w:val="Hipervnculo"/>
            <w:rFonts w:ascii="Calibri" w:eastAsiaTheme="majorEastAsia" w:hAnsi="Calibri" w:cs="Calibri"/>
            <w:lang w:eastAsia="es-ES"/>
          </w:rPr>
          <w:t>una serie de API</w:t>
        </w:r>
      </w:hyperlink>
      <w:r w:rsidRPr="00767A97">
        <w:rPr>
          <w:rFonts w:ascii="Calibri" w:hAnsi="Calibri" w:cs="Calibri"/>
          <w:lang w:eastAsia="es-ES"/>
        </w:rPr>
        <w:t xml:space="preserve">, que representan un </w:t>
      </w:r>
      <w:r w:rsidRPr="00767A97">
        <w:rPr>
          <w:rFonts w:ascii="Calibri" w:hAnsi="Calibri" w:cs="Calibri"/>
          <w:b/>
          <w:bCs/>
          <w:lang w:eastAsia="es-ES"/>
        </w:rPr>
        <w:t>avance significativo en la gestión y compartición de datos geoespaciales</w:t>
      </w:r>
      <w:r w:rsidRPr="00767A97">
        <w:rPr>
          <w:rFonts w:ascii="Calibri" w:hAnsi="Calibri" w:cs="Calibri"/>
          <w:lang w:eastAsia="es-ES"/>
        </w:rPr>
        <w:t xml:space="preserve">. Diseñadas para </w:t>
      </w:r>
      <w:r w:rsidRPr="00767A97">
        <w:rPr>
          <w:rFonts w:ascii="Calibri" w:hAnsi="Calibri" w:cs="Calibri"/>
          <w:b/>
          <w:bCs/>
          <w:lang w:eastAsia="es-ES"/>
        </w:rPr>
        <w:t>facilitar el acceso y uso de datos geográficos</w:t>
      </w:r>
      <w:r w:rsidRPr="00767A97">
        <w:rPr>
          <w:rFonts w:ascii="Calibri" w:hAnsi="Calibri" w:cs="Calibri"/>
          <w:lang w:eastAsia="es-ES"/>
        </w:rPr>
        <w:t xml:space="preserve"> a través de la web, estas API utilizan tecnologías modernas como REST y JSON, lo que las hace </w:t>
      </w:r>
      <w:r w:rsidRPr="00767A97">
        <w:rPr>
          <w:rFonts w:ascii="Calibri" w:hAnsi="Calibri" w:cs="Calibri"/>
          <w:b/>
          <w:bCs/>
          <w:lang w:eastAsia="es-ES"/>
        </w:rPr>
        <w:t>compatibles con una amplia variedad de aplicaciones y plataformas</w:t>
      </w:r>
      <w:r w:rsidRPr="00767A97">
        <w:rPr>
          <w:rFonts w:ascii="Calibri" w:hAnsi="Calibri" w:cs="Calibri"/>
          <w:lang w:eastAsia="es-ES"/>
        </w:rPr>
        <w:t>. Además, las OGC API promueven la interoperabilidad, escalabilidad y seguridad, facilitando la integración y el análisis de datos geoespaciales en tiempo real.</w:t>
      </w:r>
    </w:p>
    <w:p w14:paraId="51FE9767" w14:textId="77777777" w:rsidR="007314CE" w:rsidRPr="00767A97" w:rsidRDefault="007314CE" w:rsidP="00743C01">
      <w:pPr>
        <w:spacing w:line="276" w:lineRule="auto"/>
        <w:rPr>
          <w:rFonts w:ascii="Calibri" w:hAnsi="Calibri" w:cs="Calibri"/>
          <w:lang w:eastAsia="es-ES"/>
        </w:rPr>
      </w:pPr>
      <w:r w:rsidRPr="00767A97">
        <w:rPr>
          <w:rFonts w:ascii="Calibri" w:hAnsi="Calibri" w:cs="Calibri"/>
          <w:lang w:eastAsia="es-ES"/>
        </w:rPr>
        <w:t xml:space="preserve">Actualmente, el OGC está trabajando con la implementación de los </w:t>
      </w:r>
      <w:r w:rsidRPr="00767A97">
        <w:rPr>
          <w:rFonts w:ascii="Calibri" w:hAnsi="Calibri" w:cs="Calibri"/>
          <w:b/>
          <w:bCs/>
          <w:lang w:eastAsia="es-ES"/>
        </w:rPr>
        <w:t xml:space="preserve">estándares siguiendo el concepto de </w:t>
      </w:r>
      <w:proofErr w:type="spellStart"/>
      <w:r w:rsidRPr="00767A97">
        <w:rPr>
          <w:rFonts w:ascii="Calibri" w:hAnsi="Calibri" w:cs="Calibri"/>
          <w:b/>
          <w:bCs/>
          <w:i/>
          <w:iCs/>
          <w:lang w:eastAsia="es-ES"/>
        </w:rPr>
        <w:t>Building</w:t>
      </w:r>
      <w:proofErr w:type="spellEnd"/>
      <w:r w:rsidRPr="00767A97">
        <w:rPr>
          <w:rFonts w:ascii="Calibri" w:hAnsi="Calibri" w:cs="Calibri"/>
          <w:b/>
          <w:bCs/>
          <w:i/>
          <w:iCs/>
          <w:lang w:eastAsia="es-ES"/>
        </w:rPr>
        <w:t xml:space="preserve"> Blocks</w:t>
      </w:r>
      <w:r w:rsidRPr="00767A97">
        <w:rPr>
          <w:rFonts w:ascii="Calibri" w:hAnsi="Calibri" w:cs="Calibri"/>
          <w:b/>
          <w:bCs/>
          <w:lang w:eastAsia="es-ES"/>
        </w:rPr>
        <w:t>, que son componentes modulares diseñados para facilitar la creación y gestión de datos geoespaciales y servicios relacionados</w:t>
      </w:r>
      <w:r w:rsidRPr="00767A97">
        <w:rPr>
          <w:rFonts w:ascii="Calibri" w:hAnsi="Calibri" w:cs="Calibri"/>
          <w:lang w:eastAsia="es-ES"/>
        </w:rPr>
        <w:t>. Estos bloques proporcionan un marco estándar y reutilizable que permite integrar y operar eficientemente con datos de localización en diversas aplicaciones y sistemas. Entre sus ventajas se destacan la interoperabilidad, la reutilización, la eficiencia y la precisión en la gestión de datos geoespaciales.</w:t>
      </w:r>
    </w:p>
    <w:p w14:paraId="2F032E60" w14:textId="77777777" w:rsidR="007314CE" w:rsidRPr="00767A97" w:rsidRDefault="007314CE" w:rsidP="00743C01">
      <w:pPr>
        <w:spacing w:line="276" w:lineRule="auto"/>
        <w:rPr>
          <w:rFonts w:ascii="Calibri" w:hAnsi="Calibri" w:cs="Calibri"/>
          <w:lang w:eastAsia="es-ES"/>
        </w:rPr>
      </w:pPr>
      <w:r w:rsidRPr="00767A97">
        <w:rPr>
          <w:rFonts w:ascii="Calibri" w:hAnsi="Calibri" w:cs="Calibri"/>
          <w:lang w:eastAsia="es-ES"/>
        </w:rPr>
        <w:t xml:space="preserve">En </w:t>
      </w:r>
      <w:r w:rsidRPr="00767A97">
        <w:rPr>
          <w:rFonts w:ascii="Calibri" w:hAnsi="Calibri" w:cs="Calibri"/>
          <w:b/>
          <w:bCs/>
          <w:lang w:eastAsia="es-ES"/>
        </w:rPr>
        <w:t>España</w:t>
      </w:r>
      <w:r w:rsidRPr="00767A97">
        <w:rPr>
          <w:rFonts w:ascii="Calibri" w:hAnsi="Calibri" w:cs="Calibri"/>
          <w:lang w:eastAsia="es-ES"/>
        </w:rPr>
        <w:t xml:space="preserve">, la implementación de las OGC API está avanzando con éxito en diversas instituciones y sectores. Organismos como el </w:t>
      </w:r>
      <w:hyperlink r:id="rId12" w:anchor="/metadata/spaignapi_features_scne" w:history="1">
        <w:r w:rsidRPr="00767A97">
          <w:rPr>
            <w:rStyle w:val="Hipervnculo"/>
            <w:rFonts w:ascii="Calibri" w:eastAsiaTheme="majorEastAsia" w:hAnsi="Calibri" w:cs="Calibri"/>
            <w:lang w:eastAsia="es-ES"/>
          </w:rPr>
          <w:t>Centro Nacional de Información Geográfica con la publicación de los productos del Sistema Cartográfico Nacional</w:t>
        </w:r>
      </w:hyperlink>
      <w:r w:rsidRPr="00767A97">
        <w:rPr>
          <w:rFonts w:ascii="Calibri" w:hAnsi="Calibri" w:cs="Calibri"/>
          <w:lang w:eastAsia="es-ES"/>
        </w:rPr>
        <w:t xml:space="preserve">, la </w:t>
      </w:r>
      <w:hyperlink r:id="rId13" w:history="1">
        <w:r w:rsidRPr="00767A97">
          <w:rPr>
            <w:rStyle w:val="Hipervnculo"/>
            <w:rFonts w:ascii="Calibri" w:eastAsiaTheme="majorEastAsia" w:hAnsi="Calibri" w:cs="Calibri"/>
            <w:lang w:eastAsia="es-ES"/>
          </w:rPr>
          <w:t>IDE de Navarra</w:t>
        </w:r>
      </w:hyperlink>
      <w:r w:rsidRPr="00767A97">
        <w:rPr>
          <w:rFonts w:ascii="Calibri" w:hAnsi="Calibri" w:cs="Calibri"/>
          <w:lang w:eastAsia="es-ES"/>
        </w:rPr>
        <w:t xml:space="preserve"> y la </w:t>
      </w:r>
      <w:hyperlink r:id="rId14" w:history="1">
        <w:r w:rsidRPr="00767A97">
          <w:rPr>
            <w:rStyle w:val="Hipervnculo"/>
            <w:rFonts w:ascii="Calibri" w:eastAsiaTheme="majorEastAsia" w:hAnsi="Calibri" w:cs="Calibri"/>
            <w:lang w:eastAsia="es-ES"/>
          </w:rPr>
          <w:t>IDE de Catalunya</w:t>
        </w:r>
      </w:hyperlink>
      <w:r w:rsidRPr="00767A97">
        <w:rPr>
          <w:rFonts w:ascii="Calibri" w:hAnsi="Calibri" w:cs="Calibri"/>
          <w:lang w:eastAsia="es-ES"/>
        </w:rPr>
        <w:t xml:space="preserve"> ya han adoptado   </w:t>
      </w:r>
      <w:r w:rsidRPr="00767A97">
        <w:rPr>
          <w:rFonts w:ascii="Calibri" w:hAnsi="Calibri" w:cs="Calibri"/>
          <w:b/>
          <w:bCs/>
          <w:lang w:eastAsia="es-ES"/>
        </w:rPr>
        <w:t>estos estándares para mejorar la gestión y accesibilidad de los datos geoespaciales</w:t>
      </w:r>
      <w:r w:rsidRPr="00767A97">
        <w:rPr>
          <w:rFonts w:ascii="Calibri" w:hAnsi="Calibri" w:cs="Calibri"/>
          <w:lang w:eastAsia="es-ES"/>
        </w:rPr>
        <w:t>. La integración de información espacial con otros tipos de datos, como los estadísticos, proporciona una visión más completa y útil para la toma de decisiones, mejorando significativamente la calidad y utilidad de las aplicaciones geoespaciales.</w:t>
      </w:r>
    </w:p>
    <w:p w14:paraId="2816D831" w14:textId="77777777" w:rsidR="007314CE" w:rsidRPr="00767A97" w:rsidRDefault="007314CE" w:rsidP="00743C01">
      <w:pPr>
        <w:spacing w:line="276" w:lineRule="auto"/>
        <w:rPr>
          <w:rFonts w:ascii="Calibri" w:hAnsi="Calibri" w:cs="Calibri"/>
          <w:lang w:eastAsia="es-ES"/>
        </w:rPr>
      </w:pPr>
      <w:r w:rsidRPr="00767A97">
        <w:rPr>
          <w:rFonts w:ascii="Calibri" w:hAnsi="Calibri" w:cs="Calibri"/>
          <w:lang w:eastAsia="es-ES"/>
        </w:rPr>
        <w:lastRenderedPageBreak/>
        <w:t xml:space="preserve">En resumen, los </w:t>
      </w:r>
      <w:r w:rsidRPr="00767A97">
        <w:rPr>
          <w:rFonts w:ascii="Calibri" w:hAnsi="Calibri" w:cs="Calibri"/>
          <w:b/>
          <w:bCs/>
          <w:lang w:eastAsia="es-ES"/>
        </w:rPr>
        <w:t xml:space="preserve">nuevos estándares y </w:t>
      </w:r>
      <w:proofErr w:type="spellStart"/>
      <w:r w:rsidRPr="00767A97">
        <w:rPr>
          <w:rFonts w:ascii="Calibri" w:hAnsi="Calibri" w:cs="Calibri"/>
          <w:b/>
          <w:bCs/>
          <w:i/>
          <w:iCs/>
          <w:lang w:eastAsia="es-ES"/>
        </w:rPr>
        <w:t>Building</w:t>
      </w:r>
      <w:proofErr w:type="spellEnd"/>
      <w:r w:rsidRPr="00767A97">
        <w:rPr>
          <w:rFonts w:ascii="Calibri" w:hAnsi="Calibri" w:cs="Calibri"/>
          <w:b/>
          <w:bCs/>
          <w:i/>
          <w:iCs/>
          <w:lang w:eastAsia="es-ES"/>
        </w:rPr>
        <w:t xml:space="preserve"> Blocks</w:t>
      </w:r>
      <w:r w:rsidRPr="00767A97">
        <w:rPr>
          <w:rFonts w:ascii="Calibri" w:hAnsi="Calibri" w:cs="Calibri"/>
          <w:b/>
          <w:bCs/>
          <w:lang w:eastAsia="es-ES"/>
        </w:rPr>
        <w:t xml:space="preserve"> del OGC ofrecen numerosas ventajas que mejoran la eficiencia, interoperabilidad y calidad de las aplicaciones y servicios geoespaciales</w:t>
      </w:r>
      <w:r w:rsidRPr="00767A97">
        <w:rPr>
          <w:rFonts w:ascii="Calibri" w:hAnsi="Calibri" w:cs="Calibri"/>
          <w:lang w:eastAsia="es-ES"/>
        </w:rPr>
        <w:t>. Estos beneficios se extienden a desarrolladores, organizaciones y usuarios finales, promoviendo un ecosistema geoespacial más integrado y robusto. Al adoptar estos estándares, se asegura que las soluciones sean interoperables, reutilizables y accesibles a largo plazo, beneficiando a toda la comunidad geoespacial.</w:t>
      </w:r>
    </w:p>
    <w:p w14:paraId="3AD42015" w14:textId="5905EF7B" w:rsidR="003A46FF" w:rsidRPr="00767A97" w:rsidRDefault="007314CE" w:rsidP="00743C01">
      <w:pPr>
        <w:spacing w:line="276" w:lineRule="auto"/>
        <w:rPr>
          <w:rFonts w:ascii="Calibri" w:hAnsi="Calibri" w:cs="Calibri"/>
          <w:lang w:eastAsia="es-ES"/>
        </w:rPr>
      </w:pPr>
      <w:r w:rsidRPr="00767A97">
        <w:rPr>
          <w:rFonts w:ascii="Calibri" w:hAnsi="Calibri" w:cs="Calibri"/>
          <w:lang w:eastAsia="es-ES"/>
        </w:rPr>
        <w:t>Este es el tema central del informe “</w:t>
      </w:r>
      <w:r w:rsidRPr="00767A97">
        <w:rPr>
          <w:rFonts w:ascii="Calibri" w:hAnsi="Calibri" w:cs="Calibri"/>
          <w:b/>
          <w:bCs/>
          <w:color w:val="444444"/>
        </w:rPr>
        <w:t>Cómo utilizar OGC API para mejorar la interoperabilidad de los datos geoespaciales”</w:t>
      </w:r>
      <w:r w:rsidRPr="00767A97">
        <w:rPr>
          <w:rFonts w:ascii="Calibri" w:hAnsi="Calibri" w:cs="Calibri"/>
          <w:lang w:eastAsia="es-ES"/>
        </w:rPr>
        <w:t xml:space="preserve">, donde se explica cómo funcionan las OGC API, acercándonos también al concepto de los </w:t>
      </w:r>
      <w:proofErr w:type="spellStart"/>
      <w:r w:rsidRPr="00767A97">
        <w:rPr>
          <w:rFonts w:ascii="Calibri" w:hAnsi="Calibri" w:cs="Calibri"/>
          <w:i/>
          <w:iCs/>
          <w:lang w:eastAsia="es-ES"/>
        </w:rPr>
        <w:t>Building</w:t>
      </w:r>
      <w:proofErr w:type="spellEnd"/>
      <w:r w:rsidRPr="00767A97">
        <w:rPr>
          <w:rFonts w:ascii="Calibri" w:hAnsi="Calibri" w:cs="Calibri"/>
          <w:i/>
          <w:iCs/>
          <w:lang w:eastAsia="es-ES"/>
        </w:rPr>
        <w:t xml:space="preserve"> Blocks</w:t>
      </w:r>
      <w:r w:rsidRPr="00767A97">
        <w:rPr>
          <w:rFonts w:ascii="Calibri" w:hAnsi="Calibri" w:cs="Calibri"/>
          <w:lang w:eastAsia="es-ES"/>
        </w:rPr>
        <w:t>, con el objetivo de que el lector pueda implementar su uso en su organización. Puedes leer el informe completo aquí.</w:t>
      </w:r>
      <w:bookmarkEnd w:id="1"/>
    </w:p>
    <w:sectPr w:rsidR="003A46FF" w:rsidRPr="00767A97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EFC9" w14:textId="77777777" w:rsidR="00CE6BAE" w:rsidRDefault="00CE6BAE" w:rsidP="00767A97">
      <w:pPr>
        <w:spacing w:before="0" w:after="0"/>
      </w:pPr>
      <w:r>
        <w:separator/>
      </w:r>
    </w:p>
  </w:endnote>
  <w:endnote w:type="continuationSeparator" w:id="0">
    <w:p w14:paraId="5A106CBC" w14:textId="77777777" w:rsidR="00CE6BAE" w:rsidRDefault="00CE6BAE" w:rsidP="00767A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BCAB" w14:textId="77777777" w:rsidR="00743C01" w:rsidRDefault="00743C01">
    <w:pPr>
      <w:pStyle w:val="Piedepgina"/>
    </w:pPr>
  </w:p>
  <w:p w14:paraId="689351FB" w14:textId="0D44571D" w:rsidR="00114A14" w:rsidRDefault="00114A14">
    <w:pPr>
      <w:pStyle w:val="Piedepgina"/>
    </w:pPr>
    <w:r>
      <w:rPr>
        <w:noProof/>
        <w14:ligatures w14:val="standardContextual"/>
      </w:rPr>
      <w:drawing>
        <wp:inline distT="0" distB="0" distL="0" distR="0" wp14:anchorId="0D3E492C" wp14:editId="365B4ABE">
          <wp:extent cx="5400040" cy="384175"/>
          <wp:effectExtent l="0" t="0" r="0" b="0"/>
          <wp:docPr id="1" name="Imagen 1" descr="Logo Secretaria de Estado de Digitalización, red.es, iniciativa aporta y datos.gob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Secretaria de Estado de Digitalización, red.es, iniciativa aporta y datos.gob.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E44D" w14:textId="77777777" w:rsidR="00CE6BAE" w:rsidRDefault="00CE6BAE" w:rsidP="00767A97">
      <w:pPr>
        <w:spacing w:before="0" w:after="0"/>
      </w:pPr>
      <w:r>
        <w:separator/>
      </w:r>
    </w:p>
  </w:footnote>
  <w:footnote w:type="continuationSeparator" w:id="0">
    <w:p w14:paraId="2C048E7B" w14:textId="77777777" w:rsidR="00CE6BAE" w:rsidRDefault="00CE6BAE" w:rsidP="00767A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DA03" w14:textId="788DF1DC" w:rsidR="00767A97" w:rsidRDefault="00767A97">
    <w:pPr>
      <w:pStyle w:val="Encabezado"/>
      <w:rPr>
        <w:noProof/>
        <w:color w:val="000000" w:themeColor="text1"/>
        <w:sz w:val="16"/>
        <w:szCs w:val="16"/>
      </w:rPr>
    </w:pPr>
    <w:r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0" locked="0" layoutInCell="1" allowOverlap="1" wp14:anchorId="09D76F5E" wp14:editId="1B69E86A">
          <wp:simplePos x="0" y="0"/>
          <wp:positionH relativeFrom="column">
            <wp:posOffset>-1195070</wp:posOffset>
          </wp:positionH>
          <wp:positionV relativeFrom="paragraph">
            <wp:posOffset>-449580</wp:posOffset>
          </wp:positionV>
          <wp:extent cx="7872730" cy="1117600"/>
          <wp:effectExtent l="0" t="0" r="127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73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1E24E" w14:textId="5780857D" w:rsidR="00767A97" w:rsidRDefault="00767A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B"/>
    <w:rsid w:val="00012BC3"/>
    <w:rsid w:val="00114A14"/>
    <w:rsid w:val="003A46FF"/>
    <w:rsid w:val="007314CE"/>
    <w:rsid w:val="00743C01"/>
    <w:rsid w:val="00767A97"/>
    <w:rsid w:val="0099659B"/>
    <w:rsid w:val="00B86D1F"/>
    <w:rsid w:val="00CE3A28"/>
    <w:rsid w:val="00CE6BAE"/>
    <w:rsid w:val="00DF6118"/>
    <w:rsid w:val="00E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F4E7"/>
  <w15:chartTrackingRefBased/>
  <w15:docId w15:val="{273F85DB-84C6-4041-8498-03278C95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CE"/>
    <w:pPr>
      <w:spacing w:before="120" w:after="100" w:afterAutospacing="1" w:line="240" w:lineRule="auto"/>
      <w:jc w:val="both"/>
      <w:textAlignment w:val="baseline"/>
    </w:pPr>
    <w:rPr>
      <w:rFonts w:ascii="Segoe UI" w:eastAsia="Times New Roman" w:hAnsi="Segoe UI" w:cs="Segoe UI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6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996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996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5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5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5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5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5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5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5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5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5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5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5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59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9659B"/>
    <w:rPr>
      <w:color w:val="0000FF"/>
      <w:u w:val="single"/>
    </w:rPr>
  </w:style>
  <w:style w:type="paragraph" w:customStyle="1" w:styleId="titulo2">
    <w:name w:val="titulo 2"/>
    <w:basedOn w:val="titulo1"/>
    <w:qFormat/>
    <w:rsid w:val="007314CE"/>
    <w:pPr>
      <w:tabs>
        <w:tab w:val="clear" w:pos="851"/>
        <w:tab w:val="num" w:pos="360"/>
        <w:tab w:val="left" w:pos="993"/>
      </w:tabs>
    </w:pPr>
    <w:rPr>
      <w:sz w:val="32"/>
      <w:szCs w:val="32"/>
    </w:rPr>
  </w:style>
  <w:style w:type="paragraph" w:customStyle="1" w:styleId="titulo1">
    <w:name w:val="titulo 1"/>
    <w:basedOn w:val="Ttulo1"/>
    <w:link w:val="titulo1Car"/>
    <w:qFormat/>
    <w:rsid w:val="007314CE"/>
    <w:pPr>
      <w:keepLines w:val="0"/>
      <w:shd w:val="clear" w:color="auto" w:fill="D1D1D1" w:themeFill="background2" w:themeFillShade="E6"/>
      <w:tabs>
        <w:tab w:val="left" w:pos="0"/>
        <w:tab w:val="left" w:pos="426"/>
        <w:tab w:val="left" w:pos="851"/>
      </w:tabs>
      <w:spacing w:before="0" w:after="0"/>
      <w:ind w:left="360" w:hanging="360"/>
    </w:pPr>
    <w:rPr>
      <w:rFonts w:ascii="Segoe UI" w:eastAsia="Times New Roman" w:hAnsi="Segoe UI" w:cs="Segoe UI"/>
      <w:b/>
      <w:iCs/>
      <w:noProof/>
      <w:color w:val="000000" w:themeColor="text1"/>
      <w:sz w:val="44"/>
      <w:szCs w:val="44"/>
      <w:lang w:eastAsia="es-ES"/>
    </w:rPr>
  </w:style>
  <w:style w:type="character" w:customStyle="1" w:styleId="titulo1Car">
    <w:name w:val="titulo 1 Car"/>
    <w:basedOn w:val="Ttulo1Car"/>
    <w:link w:val="titulo1"/>
    <w:rsid w:val="007314CE"/>
    <w:rPr>
      <w:rFonts w:ascii="Segoe UI" w:eastAsia="Times New Roman" w:hAnsi="Segoe UI" w:cs="Segoe UI"/>
      <w:b/>
      <w:iCs/>
      <w:noProof/>
      <w:color w:val="000000" w:themeColor="text1"/>
      <w:kern w:val="0"/>
      <w:sz w:val="44"/>
      <w:szCs w:val="44"/>
      <w:shd w:val="clear" w:color="auto" w:fill="D1D1D1" w:themeFill="background2" w:themeFillShade="E6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012BC3"/>
  </w:style>
  <w:style w:type="paragraph" w:styleId="Encabezado">
    <w:name w:val="header"/>
    <w:basedOn w:val="Normal"/>
    <w:link w:val="EncabezadoCar"/>
    <w:uiPriority w:val="99"/>
    <w:unhideWhenUsed/>
    <w:rsid w:val="00767A97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7A97"/>
    <w:rPr>
      <w:rFonts w:ascii="Segoe UI" w:eastAsia="Times New Roman" w:hAnsi="Segoe UI" w:cs="Segoe UI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67A97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A97"/>
    <w:rPr>
      <w:rFonts w:ascii="Segoe UI" w:eastAsia="Times New Roman" w:hAnsi="Segoe UI" w:cs="Segoe UI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oportal.navarra.es/es/idena/servicio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ee.es/csw-codsi-idee/srv/spa/catalog.sear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gcapi.ogc.or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g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inspire-geoportal.ec.europa.eu/srv/api/records/inspire-ogc-api-features?language=al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36E162185FC4485D0A3607FCA1ACE" ma:contentTypeVersion="14" ma:contentTypeDescription="Crear nuevo documento." ma:contentTypeScope="" ma:versionID="1be3629a2f95466fd5191fb2e0e66215">
  <xsd:schema xmlns:xsd="http://www.w3.org/2001/XMLSchema" xmlns:xs="http://www.w3.org/2001/XMLSchema" xmlns:p="http://schemas.microsoft.com/office/2006/metadata/properties" xmlns:ns2="603d263e-f240-4366-b5e4-98da94f82637" xmlns:ns3="cb2f863a-f724-4fe0-b931-97988f8e8c11" targetNamespace="http://schemas.microsoft.com/office/2006/metadata/properties" ma:root="true" ma:fieldsID="2ce734c6fdbe84ab9deafc7837fef9cc" ns2:_="" ns3:_="">
    <xsd:import namespace="603d263e-f240-4366-b5e4-98da94f82637"/>
    <xsd:import namespace="cb2f863a-f724-4fe0-b931-97988f8e8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263e-f240-4366-b5e4-98da94f8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e72c241-18b6-4900-8c08-d1ecc7d68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63a-f724-4fe0-b931-97988f8e8c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60988-08cd-488b-9574-0ba89df9a24d}" ma:internalName="TaxCatchAll" ma:showField="CatchAllData" ma:web="cb2f863a-f724-4fe0-b931-97988f8e8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f863a-f724-4fe0-b931-97988f8e8c11" xsi:nil="true"/>
    <lcf76f155ced4ddcb4097134ff3c332f xmlns="603d263e-f240-4366-b5e4-98da94f826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9E07B-F92C-4FF9-A43C-C4DA0436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263e-f240-4366-b5e4-98da94f82637"/>
    <ds:schemaRef ds:uri="cb2f863a-f724-4fe0-b931-97988f8e8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9DF4E-9F6B-4764-86C2-B3F6CE98A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F6CC5-FA2C-43B8-A0D0-43212F8F86F4}">
  <ds:schemaRefs>
    <ds:schemaRef ds:uri="http://schemas.microsoft.com/office/2006/metadata/properties"/>
    <ds:schemaRef ds:uri="http://schemas.microsoft.com/office/infopath/2007/PartnerControls"/>
    <ds:schemaRef ds:uri="cb2f863a-f724-4fe0-b931-97988f8e8c11"/>
    <ds:schemaRef ds:uri="603d263e-f240-4366-b5e4-98da94f82637"/>
  </ds:schemaRefs>
</ds:datastoreItem>
</file>

<file path=customXml/itemProps4.xml><?xml version="1.0" encoding="utf-8"?>
<ds:datastoreItem xmlns:ds="http://schemas.openxmlformats.org/officeDocument/2006/customXml" ds:itemID="{69E01C09-D3EC-634E-B648-F29AEADC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IZERTIS S.A.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Castillo Martinez</dc:creator>
  <cp:keywords/>
  <dc:description/>
  <cp:lastModifiedBy>Valery Alexandra Olivo Hernandez</cp:lastModifiedBy>
  <cp:revision>4</cp:revision>
  <dcterms:created xsi:type="dcterms:W3CDTF">2024-07-01T09:19:00Z</dcterms:created>
  <dcterms:modified xsi:type="dcterms:W3CDTF">2024-07-18T08:42:00Z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0x010100C6636E162185FC4485D0A3607FCA1ACE</vt:lpwstr>
  </property>
</Properties>
</file>