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8858E" w14:textId="4EC79ECF" w:rsidR="00BE181C" w:rsidRPr="00BE181C" w:rsidRDefault="00BE181C" w:rsidP="00C961E5">
      <w:pPr>
        <w:pStyle w:val="Ttulo1"/>
        <w:numPr>
          <w:ilvl w:val="0"/>
          <w:numId w:val="0"/>
        </w:numPr>
        <w:spacing w:line="276" w:lineRule="auto"/>
        <w:jc w:val="center"/>
      </w:pPr>
      <w:r w:rsidRPr="0099391F">
        <w:t>Características espacios de datos</w:t>
      </w:r>
    </w:p>
    <w:p w14:paraId="5E4FBDBB" w14:textId="301D5AFE" w:rsidR="00BE181C" w:rsidRPr="00BE181C" w:rsidRDefault="00BE181C" w:rsidP="00C961E5">
      <w:pPr>
        <w:pStyle w:val="Ttulo2"/>
        <w:spacing w:line="276" w:lineRule="auto"/>
      </w:pPr>
      <w:r w:rsidRPr="00BE181C">
        <w:t>Principios rectores y legislación</w:t>
      </w:r>
    </w:p>
    <w:p w14:paraId="342E8866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promueve la creación continua y sostenible de productos y servicios alrededor del dato.</w:t>
      </w:r>
    </w:p>
    <w:p w14:paraId="7833863F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apoya el cumplimiento específico de la legislación de la UE, en particular la protección de datos personales, la legislación de protección del consumidor y las leyes de defensa de la competencia.</w:t>
      </w:r>
    </w:p>
    <w:p w14:paraId="6BB20CE1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fomenta la confianza de los partícipes generando relaciones de valor añadido y habilitando una ética de tratamiento del dato.</w:t>
      </w:r>
    </w:p>
    <w:p w14:paraId="28A50675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garantiza la soberanía de los partícipes sobre sus datos.</w:t>
      </w:r>
    </w:p>
    <w:p w14:paraId="13D40871" w14:textId="1BDF1FB0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presta atención a todos los aspectos relativos a su seguridad.</w:t>
      </w:r>
    </w:p>
    <w:p w14:paraId="2B798DA6" w14:textId="77777777" w:rsidR="00BE181C" w:rsidRDefault="00BE181C" w:rsidP="00C961E5">
      <w:pPr>
        <w:pStyle w:val="Ttulo2"/>
        <w:spacing w:line="276" w:lineRule="auto"/>
      </w:pPr>
      <w:r w:rsidRPr="00383DD2">
        <w:t>Participantes y roles</w:t>
      </w:r>
    </w:p>
    <w:p w14:paraId="713BECB2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espacio de datos está abierto a la participación de todo actor del ecosistema comprometido a cumplir con sus líneas de funcionamiento, desde el sector público o privado hasta el tercer sector.</w:t>
      </w:r>
    </w:p>
    <w:p w14:paraId="377D58D9" w14:textId="511B51E5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espacio de datos permite a los diversos participantes el despliegue de diferentes roles: productores, consumidores o proveedores de datos.</w:t>
      </w:r>
    </w:p>
    <w:p w14:paraId="165C3355" w14:textId="77777777" w:rsidR="00BE181C" w:rsidRDefault="00BE181C" w:rsidP="00C961E5">
      <w:pPr>
        <w:pStyle w:val="Ttulo2"/>
        <w:spacing w:line="276" w:lineRule="auto"/>
      </w:pPr>
      <w:r>
        <w:t>Gobernanza</w:t>
      </w:r>
    </w:p>
    <w:p w14:paraId="6A29F1E2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código de gobernanza de un espacio de datos habilitará la consignación de políticas de acceso y uso de la información en los correspondientes acuerdos.</w:t>
      </w:r>
    </w:p>
    <w:p w14:paraId="6631592B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espacio de datos facilitará encontrar, acceder y usar los datos, bajo principios FAIR (localizables, accesibles, intercambiables, reusables).</w:t>
      </w:r>
    </w:p>
    <w:p w14:paraId="0E36C04F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espacio de datos facilita el desarrollo de semánticas y vocabularios de uso común.</w:t>
      </w:r>
    </w:p>
    <w:p w14:paraId="657C4993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Los datos recopilados en los distintos espacios de datos se presentan en formatos accesibles para las personas con discapacidad.</w:t>
      </w:r>
    </w:p>
    <w:p w14:paraId="6C1F730D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clausulado contractual de un caso de uso del espacio de datos podrá fijar la disponibilidad del producto, la totalidad de partícipes o su publicación bajo licencia de datos abiertos.</w:t>
      </w:r>
    </w:p>
    <w:p w14:paraId="0D8DB415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funcionamiento del espacio de datos en su conjunto podrá ser objeto de auditoría externa.</w:t>
      </w:r>
    </w:p>
    <w:p w14:paraId="7E75FCA9" w14:textId="26558823" w:rsidR="00C961E5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>El espacio de datos asegurará la interoperabilidad y sinergias con otros espacios de datos sectoriales nacionales o europeos.</w:t>
      </w:r>
    </w:p>
    <w:p w14:paraId="452FD88F" w14:textId="5793B61F" w:rsidR="00BE181C" w:rsidRPr="00C961E5" w:rsidRDefault="00C961E5" w:rsidP="00C961E5">
      <w:pPr>
        <w:spacing w:after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BC11D5A" w14:textId="77777777" w:rsidR="00BE181C" w:rsidRDefault="00BE181C" w:rsidP="00C961E5">
      <w:pPr>
        <w:pStyle w:val="Ttulo2"/>
        <w:spacing w:line="276" w:lineRule="auto"/>
      </w:pPr>
      <w:r w:rsidRPr="0099391F">
        <w:lastRenderedPageBreak/>
        <w:t>Tecnología</w:t>
      </w:r>
    </w:p>
    <w:p w14:paraId="1A8FFF4E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>El espacio de datos pretende ser independiente de la solución tecnológica subyacente.</w:t>
      </w:r>
    </w:p>
    <w:p w14:paraId="2142259C" w14:textId="588A5ABB" w:rsidR="00BE181C" w:rsidRPr="00BE181C" w:rsidRDefault="00BE181C" w:rsidP="00C961E5">
      <w:pPr>
        <w:pStyle w:val="Vietas0"/>
        <w:spacing w:line="276" w:lineRule="auto"/>
        <w:rPr>
          <w:b w:val="0"/>
          <w:bCs/>
          <w:u w:val="single"/>
        </w:rPr>
      </w:pPr>
      <w:r w:rsidRPr="00BE181C">
        <w:rPr>
          <w:b w:val="0"/>
          <w:bCs/>
        </w:rPr>
        <w:t xml:space="preserve">Los componentes software presentes en los espacios de datos se </w:t>
      </w:r>
      <w:r w:rsidRPr="00BE181C">
        <w:rPr>
          <w:b w:val="0"/>
          <w:bCs/>
        </w:rPr>
        <w:t>crearán</w:t>
      </w:r>
      <w:r w:rsidRPr="00BE181C">
        <w:rPr>
          <w:b w:val="0"/>
          <w:bCs/>
        </w:rPr>
        <w:t xml:space="preserve"> bajo esquemas de licenciamiento que habiliten su conocimiento y reutilización.</w:t>
      </w:r>
    </w:p>
    <w:p w14:paraId="01A99616" w14:textId="77777777" w:rsidR="00BE181C" w:rsidRPr="00BE181C" w:rsidRDefault="00BE181C" w:rsidP="00C961E5">
      <w:pPr>
        <w:pStyle w:val="Vietas0"/>
        <w:spacing w:line="276" w:lineRule="auto"/>
        <w:rPr>
          <w:b w:val="0"/>
          <w:bCs/>
        </w:rPr>
      </w:pPr>
      <w:r w:rsidRPr="00BE181C">
        <w:rPr>
          <w:b w:val="0"/>
          <w:bCs/>
        </w:rPr>
        <w:t xml:space="preserve">El espacio de datos hace uso, si así es necesario, de tecnologías innovadoras, pudiéndose reseñar las siguientes situaciones de utilización: </w:t>
      </w:r>
    </w:p>
    <w:p w14:paraId="61EF773F" w14:textId="77777777" w:rsidR="00BE181C" w:rsidRPr="00BE181C" w:rsidRDefault="00BE181C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BE181C">
        <w:rPr>
          <w:b w:val="0"/>
          <w:bCs/>
        </w:rPr>
        <w:t>Se facilitará el despliegue de servicios y herramientas de analítica avanzada.</w:t>
      </w:r>
    </w:p>
    <w:p w14:paraId="3ABEA100" w14:textId="77777777" w:rsidR="00BE181C" w:rsidRPr="00BE181C" w:rsidRDefault="00BE181C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BE181C">
        <w:rPr>
          <w:b w:val="0"/>
          <w:bCs/>
        </w:rPr>
        <w:t>Se potenciará el uso intensivo de tecnologías de privacidad (PET) para garantizar el adecuado tratamiento de información.</w:t>
      </w:r>
    </w:p>
    <w:p w14:paraId="3E335EA2" w14:textId="77777777" w:rsidR="00BE181C" w:rsidRPr="00F21708" w:rsidRDefault="00BE181C" w:rsidP="00C961E5">
      <w:pPr>
        <w:pStyle w:val="Vietas0"/>
        <w:numPr>
          <w:ilvl w:val="1"/>
          <w:numId w:val="2"/>
        </w:numPr>
        <w:spacing w:line="276" w:lineRule="auto"/>
      </w:pPr>
      <w:r w:rsidRPr="00BE181C">
        <w:rPr>
          <w:b w:val="0"/>
          <w:bCs/>
        </w:rPr>
        <w:t xml:space="preserve">Se potenciará el despliegue y uso intensivo de modelos innovadores de </w:t>
      </w:r>
      <w:r w:rsidRPr="00F21708">
        <w:t>aprendizaje federado.</w:t>
      </w:r>
    </w:p>
    <w:p w14:paraId="53C23A54" w14:textId="77777777" w:rsidR="00BE181C" w:rsidRPr="00BE181C" w:rsidRDefault="00BE181C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BE181C">
        <w:rPr>
          <w:b w:val="0"/>
          <w:bCs/>
        </w:rPr>
        <w:t xml:space="preserve">Se podrán utilizar las </w:t>
      </w:r>
      <w:r w:rsidRPr="00F21708">
        <w:t>tecnologías de registro distribuidas</w:t>
      </w:r>
      <w:r w:rsidRPr="00BE181C">
        <w:rPr>
          <w:b w:val="0"/>
          <w:bCs/>
        </w:rPr>
        <w:t xml:space="preserve"> para garantizar tanto la propiedad de los datos en sí, como de sus derechos de acceso.</w:t>
      </w:r>
    </w:p>
    <w:p w14:paraId="5D447B4F" w14:textId="77777777" w:rsidR="00BE181C" w:rsidRPr="00BE181C" w:rsidRDefault="00BE181C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BE181C">
        <w:rPr>
          <w:b w:val="0"/>
          <w:bCs/>
        </w:rPr>
        <w:t>Se aprovecharán las tecnologías tipo “digital wallet” (PIMS) en donde el ciudadano identificado digitalmente decide que uso se hace de la información por él facilitada.</w:t>
      </w:r>
    </w:p>
    <w:p w14:paraId="36F7B941" w14:textId="612F4C3D" w:rsidR="00103CCF" w:rsidRPr="00BE181C" w:rsidRDefault="00BE181C" w:rsidP="00C961E5">
      <w:pPr>
        <w:pStyle w:val="Vietas0"/>
        <w:numPr>
          <w:ilvl w:val="1"/>
          <w:numId w:val="2"/>
        </w:numPr>
        <w:spacing w:line="276" w:lineRule="auto"/>
        <w:rPr>
          <w:b w:val="0"/>
          <w:bCs/>
        </w:rPr>
      </w:pPr>
      <w:r w:rsidRPr="00BE181C">
        <w:rPr>
          <w:b w:val="0"/>
          <w:bCs/>
        </w:rPr>
        <w:t>La negociación del contrato de adhesión al espacio podrá realizarse mayormente online.</w:t>
      </w:r>
    </w:p>
    <w:sectPr w:rsidR="00103CCF" w:rsidRPr="00BE181C" w:rsidSect="00FA3A33">
      <w:headerReference w:type="default" r:id="rId8"/>
      <w:footerReference w:type="default" r:id="rId9"/>
      <w:type w:val="continuous"/>
      <w:pgSz w:w="11906" w:h="16838"/>
      <w:pgMar w:top="1701" w:right="1418" w:bottom="1245" w:left="1418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5E835" w14:textId="77777777" w:rsidR="00670A16" w:rsidRDefault="00670A16">
      <w:pPr>
        <w:spacing w:after="0" w:line="240" w:lineRule="auto"/>
      </w:pPr>
      <w:r>
        <w:separator/>
      </w:r>
    </w:p>
  </w:endnote>
  <w:endnote w:type="continuationSeparator" w:id="0">
    <w:p w14:paraId="26B90F02" w14:textId="77777777" w:rsidR="00670A16" w:rsidRDefault="00670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9254B0-0A42-4C46-8E66-49831E7A0D4B}"/>
    <w:embedBold r:id="rId2" w:fontKey="{99A8C237-3C93-D943-AD51-2F07DDC99B88}"/>
    <w:embedItalic r:id="rId3" w:fontKey="{A2B0A8B2-46DD-294E-A7F7-87C88DB85D6D}"/>
    <w:embedBoldItalic r:id="rId4" w:fontKey="{6F812C5A-5352-E944-B1B9-BBC8EAB0D091}"/>
  </w:font>
  <w:font w:name="OpenSymbol">
    <w:altName w:val="Calibri"/>
    <w:panose1 w:val="020B0604020202020204"/>
    <w:charset w:val="01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10AA82A8-3FF6-9945-B4BB-D29205E8C44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8B10509B-C0A5-3B4E-9029-8C72E91A4FE5}"/>
    <w:embedBold r:id="rId8" w:fontKey="{4F0A866D-AD1A-AF4F-94B3-AC170DDE7BD2}"/>
    <w:embedItalic r:id="rId9" w:fontKey="{9F6F5054-808F-4D41-BA18-D071C900BFE6}"/>
    <w:embedBoldItalic r:id="rId10" w:fontKey="{CBDC5B31-88F9-8949-A1CC-AF1EEEADC2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47E862A9-4824-6A46-97FB-7771F948AF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66AE4519-1D82-4B42-8C8F-837550EAC046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fontKey="{7DB69C3A-1443-5343-85CD-8124B38CDE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E72A2B0-CDA0-8F4F-8DD4-B96130BF5C3E}"/>
    <w:embedBold r:id="rId15" w:fontKey="{93BC7A3A-9D3A-094D-950D-D427FCED4171}"/>
    <w:embedItalic r:id="rId16" w:fontKey="{8D004756-9A31-674B-841E-B86CD66C1B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8F36CD84-45CD-B846-AC96-54775B012819}"/>
  </w:font>
  <w:font w:name="Droid Sans Devanagari">
    <w:altName w:val="Segoe UI"/>
    <w:panose1 w:val="020B0604020202020204"/>
    <w:charset w:val="00"/>
    <w:family w:val="roman"/>
    <w:pitch w:val="default"/>
  </w:font>
  <w:font w:name="Neutra Text">
    <w:altName w:val="Calibri"/>
    <w:panose1 w:val="020B0604020202020204"/>
    <w:charset w:val="00"/>
    <w:family w:val="auto"/>
    <w:pitch w:val="variable"/>
    <w:sig w:usb0="800000AF" w:usb1="4000204A" w:usb2="00000000" w:usb3="00000000" w:csb0="00000009" w:csb1="00000000"/>
    <w:embedRegular r:id="rId20" w:fontKey="{DA3366CA-A3AC-CB4C-87C9-7C58ACBD6312}"/>
    <w:embedBold r:id="rId21" w:fontKey="{04A0BB48-50C5-5945-993E-0AFBE2109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4E7CDDEA" w:rsidR="00842E50" w:rsidRDefault="00842E50">
    <w:pPr>
      <w:pStyle w:val="Piedepgina"/>
    </w:pPr>
    <w:r>
      <w:rPr>
        <w:noProof/>
      </w:rPr>
      <w:drawing>
        <wp:inline distT="0" distB="0" distL="0" distR="0" wp14:anchorId="275A35A6" wp14:editId="335D8D4F">
          <wp:extent cx="5764404" cy="669851"/>
          <wp:effectExtent l="0" t="0" r="1905" b="3810"/>
          <wp:docPr id="453" name="Imagen 4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4492" cy="682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03AE8" w14:textId="77777777" w:rsidR="00670A16" w:rsidRDefault="00670A16">
      <w:pPr>
        <w:rPr>
          <w:sz w:val="12"/>
        </w:rPr>
      </w:pPr>
      <w:r>
        <w:separator/>
      </w:r>
    </w:p>
  </w:footnote>
  <w:footnote w:type="continuationSeparator" w:id="0">
    <w:p w14:paraId="2501A300" w14:textId="77777777" w:rsidR="00670A16" w:rsidRDefault="00670A16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2A444A52" w:rsidR="00842E50" w:rsidRDefault="00BE181C" w:rsidP="00977098">
        <w:pPr>
          <w:pStyle w:val="Encabezado"/>
          <w:tabs>
            <w:tab w:val="clear" w:pos="8504"/>
            <w:tab w:val="right" w:pos="9070"/>
          </w:tabs>
          <w:ind w:right="-286"/>
        </w:pPr>
        <w:r>
          <w:rPr>
            <w:color w:val="000000" w:themeColor="text1"/>
            <w:sz w:val="16"/>
            <w:szCs w:val="16"/>
          </w:rPr>
          <w:t>Características espacios de datos</w:t>
        </w:r>
        <w:r w:rsidR="00842E50">
          <w:tab/>
        </w:r>
        <w:r w:rsidR="00842E50">
          <w:fldChar w:fldCharType="begin"/>
        </w:r>
        <w:r w:rsidR="00842E50">
          <w:instrText>PAGE</w:instrText>
        </w:r>
        <w:r w:rsidR="00842E50">
          <w:fldChar w:fldCharType="separate"/>
        </w:r>
        <w:r w:rsidR="00842E50">
          <w:t>34</w:t>
        </w:r>
        <w:r w:rsidR="00842E50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3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0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14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5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 w16cid:durableId="972370026">
    <w:abstractNumId w:val="14"/>
  </w:num>
  <w:num w:numId="2" w16cid:durableId="962735670">
    <w:abstractNumId w:val="11"/>
  </w:num>
  <w:num w:numId="3" w16cid:durableId="116992164">
    <w:abstractNumId w:val="16"/>
    <w:lvlOverride w:ilvl="0">
      <w:startOverride w:val="3"/>
    </w:lvlOverride>
    <w:lvlOverride w:ilvl="1">
      <w:startOverride w:val="1"/>
    </w:lvlOverride>
  </w:num>
  <w:num w:numId="4" w16cid:durableId="1974630806">
    <w:abstractNumId w:val="16"/>
  </w:num>
  <w:num w:numId="5" w16cid:durableId="2012633972">
    <w:abstractNumId w:val="15"/>
  </w:num>
  <w:num w:numId="6" w16cid:durableId="713964649">
    <w:abstractNumId w:val="5"/>
  </w:num>
  <w:num w:numId="7" w16cid:durableId="1718821565">
    <w:abstractNumId w:val="1"/>
  </w:num>
  <w:num w:numId="8" w16cid:durableId="1475293366">
    <w:abstractNumId w:val="12"/>
  </w:num>
  <w:num w:numId="9" w16cid:durableId="1472089642">
    <w:abstractNumId w:val="7"/>
  </w:num>
  <w:num w:numId="10" w16cid:durableId="1504778457">
    <w:abstractNumId w:val="8"/>
  </w:num>
  <w:num w:numId="11" w16cid:durableId="1294940161">
    <w:abstractNumId w:val="0"/>
  </w:num>
  <w:num w:numId="12" w16cid:durableId="881938277">
    <w:abstractNumId w:val="2"/>
  </w:num>
  <w:num w:numId="13" w16cid:durableId="1643270406">
    <w:abstractNumId w:val="13"/>
  </w:num>
  <w:num w:numId="14" w16cid:durableId="1377510404">
    <w:abstractNumId w:val="4"/>
  </w:num>
  <w:num w:numId="15" w16cid:durableId="1850213349">
    <w:abstractNumId w:val="6"/>
  </w:num>
  <w:num w:numId="16" w16cid:durableId="1767728221">
    <w:abstractNumId w:val="9"/>
  </w:num>
  <w:num w:numId="17" w16cid:durableId="2068412678">
    <w:abstractNumId w:val="10"/>
  </w:num>
  <w:num w:numId="18" w16cid:durableId="174414000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C772E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2ECA"/>
    <w:rsid w:val="003A2688"/>
    <w:rsid w:val="003D0488"/>
    <w:rsid w:val="003E1B41"/>
    <w:rsid w:val="0042658E"/>
    <w:rsid w:val="0043445F"/>
    <w:rsid w:val="00436CE7"/>
    <w:rsid w:val="0044744D"/>
    <w:rsid w:val="0046036E"/>
    <w:rsid w:val="00485F5D"/>
    <w:rsid w:val="00491655"/>
    <w:rsid w:val="004A1AD5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448A"/>
    <w:rsid w:val="0056250E"/>
    <w:rsid w:val="00566DCB"/>
    <w:rsid w:val="00594510"/>
    <w:rsid w:val="005D4983"/>
    <w:rsid w:val="006029CA"/>
    <w:rsid w:val="0061121B"/>
    <w:rsid w:val="00612450"/>
    <w:rsid w:val="00616780"/>
    <w:rsid w:val="00633C33"/>
    <w:rsid w:val="006434E4"/>
    <w:rsid w:val="00644ED2"/>
    <w:rsid w:val="00660D47"/>
    <w:rsid w:val="00664211"/>
    <w:rsid w:val="006703CB"/>
    <w:rsid w:val="00670A16"/>
    <w:rsid w:val="00671F66"/>
    <w:rsid w:val="006733F8"/>
    <w:rsid w:val="006855D9"/>
    <w:rsid w:val="00692C57"/>
    <w:rsid w:val="0069632A"/>
    <w:rsid w:val="006A781E"/>
    <w:rsid w:val="006F7FBA"/>
    <w:rsid w:val="007015AF"/>
    <w:rsid w:val="00702399"/>
    <w:rsid w:val="00717DD1"/>
    <w:rsid w:val="00740340"/>
    <w:rsid w:val="007415B2"/>
    <w:rsid w:val="007A6396"/>
    <w:rsid w:val="00807D37"/>
    <w:rsid w:val="00810DB5"/>
    <w:rsid w:val="00811A12"/>
    <w:rsid w:val="00842B29"/>
    <w:rsid w:val="00842E50"/>
    <w:rsid w:val="00850DF2"/>
    <w:rsid w:val="00861EB6"/>
    <w:rsid w:val="008676A8"/>
    <w:rsid w:val="00872F92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7098"/>
    <w:rsid w:val="00982CDF"/>
    <w:rsid w:val="00984F10"/>
    <w:rsid w:val="009A33BD"/>
    <w:rsid w:val="009A4ACC"/>
    <w:rsid w:val="009A4AF5"/>
    <w:rsid w:val="009A631E"/>
    <w:rsid w:val="009B3C89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F35DD"/>
    <w:rsid w:val="00AF5F8B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E181C"/>
    <w:rsid w:val="00BF027C"/>
    <w:rsid w:val="00BF1CAC"/>
    <w:rsid w:val="00BF63F4"/>
    <w:rsid w:val="00C144B1"/>
    <w:rsid w:val="00C23DB9"/>
    <w:rsid w:val="00C362E5"/>
    <w:rsid w:val="00C43468"/>
    <w:rsid w:val="00C5797F"/>
    <w:rsid w:val="00C70B98"/>
    <w:rsid w:val="00C961E5"/>
    <w:rsid w:val="00CA6F5B"/>
    <w:rsid w:val="00CB0E61"/>
    <w:rsid w:val="00CE311B"/>
    <w:rsid w:val="00CE6208"/>
    <w:rsid w:val="00D14563"/>
    <w:rsid w:val="00D35A37"/>
    <w:rsid w:val="00D36B80"/>
    <w:rsid w:val="00D37172"/>
    <w:rsid w:val="00D41350"/>
    <w:rsid w:val="00D47EAB"/>
    <w:rsid w:val="00D51DC7"/>
    <w:rsid w:val="00D52747"/>
    <w:rsid w:val="00D87A1A"/>
    <w:rsid w:val="00D95448"/>
    <w:rsid w:val="00DB0C3B"/>
    <w:rsid w:val="00DC5A13"/>
    <w:rsid w:val="00DC6F59"/>
    <w:rsid w:val="00DD11F9"/>
    <w:rsid w:val="00E04531"/>
    <w:rsid w:val="00E061F1"/>
    <w:rsid w:val="00E1026E"/>
    <w:rsid w:val="00E20CEA"/>
    <w:rsid w:val="00E328AC"/>
    <w:rsid w:val="00E51E69"/>
    <w:rsid w:val="00E54C92"/>
    <w:rsid w:val="00E6735E"/>
    <w:rsid w:val="00E769F9"/>
    <w:rsid w:val="00E91206"/>
    <w:rsid w:val="00E92162"/>
    <w:rsid w:val="00E921D9"/>
    <w:rsid w:val="00EA1454"/>
    <w:rsid w:val="00EB0FF0"/>
    <w:rsid w:val="00EE17BE"/>
    <w:rsid w:val="00EE4A4D"/>
    <w:rsid w:val="00EF7377"/>
    <w:rsid w:val="00F023EB"/>
    <w:rsid w:val="00F03A83"/>
    <w:rsid w:val="00F06CE8"/>
    <w:rsid w:val="00F1040A"/>
    <w:rsid w:val="00F16DEA"/>
    <w:rsid w:val="00F21708"/>
    <w:rsid w:val="00F57D95"/>
    <w:rsid w:val="00F67439"/>
    <w:rsid w:val="00F75F22"/>
    <w:rsid w:val="00FA3A33"/>
    <w:rsid w:val="00FA4DD4"/>
    <w:rsid w:val="00FB2E8D"/>
    <w:rsid w:val="00FC5EB7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BE181C"/>
    <w:pPr>
      <w:spacing w:before="240" w:after="240"/>
      <w:ind w:left="918"/>
      <w:contextualSpacing/>
      <w:outlineLvl w:val="1"/>
    </w:pPr>
    <w:rPr>
      <w:rFonts w:ascii="Calibri" w:eastAsia="Arial Unicode MS" w:hAnsi="Calibri" w:cs="Arial Unicode MS"/>
      <w:b/>
      <w:color w:val="000000" w:themeColor="text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BE181C"/>
    <w:rPr>
      <w:rFonts w:ascii="Calibri" w:eastAsia="Arial Unicode MS" w:hAnsi="Calibri" w:cs="Arial Unicode MS"/>
      <w:b/>
      <w:color w:val="000000" w:themeColor="text1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2</cp:revision>
  <cp:lastPrinted>2020-06-26T09:01:00Z</cp:lastPrinted>
  <dcterms:created xsi:type="dcterms:W3CDTF">2022-07-06T06:34:00Z</dcterms:created>
  <dcterms:modified xsi:type="dcterms:W3CDTF">2022-07-06T06:34:00Z</dcterms:modified>
  <dc:language>es-ES</dc:language>
</cp:coreProperties>
</file>